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AE8" w:rsidRDefault="00A30AE8" w:rsidP="00A30AE8">
      <w:pPr>
        <w:jc w:val="center"/>
        <w:rPr>
          <w:rFonts w:ascii="Times New Roman" w:hAnsi="Times New Roman" w:cs="Times New Roman"/>
          <w:sz w:val="36"/>
          <w:szCs w:val="36"/>
        </w:rPr>
      </w:pPr>
      <w:r>
        <w:rPr>
          <w:rFonts w:ascii="Times New Roman" w:hAnsi="Times New Roman" w:cs="Times New Roman"/>
          <w:noProof/>
          <w:sz w:val="36"/>
          <w:szCs w:val="36"/>
          <w:lang w:eastAsia="hr-HR"/>
        </w:rPr>
        <w:drawing>
          <wp:inline distT="0" distB="0" distL="0" distR="0" wp14:anchorId="2764A670" wp14:editId="5B51E583">
            <wp:extent cx="2390775" cy="1200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4345" cy="1206962"/>
                    </a:xfrm>
                    <a:prstGeom prst="rect">
                      <a:avLst/>
                    </a:prstGeom>
                    <a:noFill/>
                    <a:ln>
                      <a:noFill/>
                    </a:ln>
                  </pic:spPr>
                </pic:pic>
              </a:graphicData>
            </a:graphic>
          </wp:inline>
        </w:drawing>
      </w:r>
    </w:p>
    <w:p w:rsidR="00A30AE8" w:rsidRDefault="00A30AE8" w:rsidP="00A30AE8">
      <w:pPr>
        <w:jc w:val="center"/>
        <w:rPr>
          <w:rFonts w:ascii="Times New Roman" w:hAnsi="Times New Roman" w:cs="Times New Roman"/>
          <w:sz w:val="36"/>
          <w:szCs w:val="36"/>
        </w:rPr>
      </w:pPr>
    </w:p>
    <w:p w:rsidR="00A30AE8" w:rsidRDefault="00A30AE8" w:rsidP="00A30AE8">
      <w:pPr>
        <w:jc w:val="center"/>
        <w:rPr>
          <w:rFonts w:ascii="Times New Roman" w:hAnsi="Times New Roman" w:cs="Times New Roman"/>
          <w:sz w:val="36"/>
          <w:szCs w:val="36"/>
        </w:rPr>
      </w:pPr>
      <w:r>
        <w:rPr>
          <w:rFonts w:ascii="Times New Roman" w:hAnsi="Times New Roman" w:cs="Times New Roman"/>
          <w:sz w:val="36"/>
          <w:szCs w:val="36"/>
        </w:rPr>
        <w:t>Samostalna narodna knjižnica Gospić</w:t>
      </w:r>
    </w:p>
    <w:p w:rsidR="00A30AE8" w:rsidRDefault="00A30AE8" w:rsidP="00A30AE8">
      <w:pPr>
        <w:jc w:val="center"/>
        <w:rPr>
          <w:rFonts w:ascii="Times New Roman" w:hAnsi="Times New Roman" w:cs="Times New Roman"/>
          <w:sz w:val="36"/>
          <w:szCs w:val="36"/>
        </w:rPr>
      </w:pPr>
      <w:r>
        <w:rPr>
          <w:rFonts w:ascii="Times New Roman" w:hAnsi="Times New Roman" w:cs="Times New Roman"/>
          <w:sz w:val="36"/>
          <w:szCs w:val="36"/>
        </w:rPr>
        <w:t>Budačka 12, 53000 GOSPIĆ</w:t>
      </w:r>
    </w:p>
    <w:p w:rsidR="00A30AE8" w:rsidRDefault="00A30AE8" w:rsidP="00A30AE8">
      <w:pPr>
        <w:jc w:val="center"/>
        <w:rPr>
          <w:rFonts w:ascii="Times New Roman" w:hAnsi="Times New Roman" w:cs="Times New Roman"/>
          <w:sz w:val="36"/>
          <w:szCs w:val="36"/>
        </w:rPr>
      </w:pPr>
    </w:p>
    <w:p w:rsidR="00A30AE8" w:rsidRDefault="00CC3F20" w:rsidP="00A30AE8">
      <w:pPr>
        <w:jc w:val="center"/>
        <w:rPr>
          <w:rFonts w:ascii="Times New Roman" w:hAnsi="Times New Roman" w:cs="Times New Roman"/>
          <w:sz w:val="36"/>
          <w:szCs w:val="36"/>
        </w:rPr>
      </w:pPr>
      <w:r>
        <w:rPr>
          <w:noProof/>
        </w:rPr>
        <w:drawing>
          <wp:inline distT="0" distB="0" distL="0" distR="0">
            <wp:extent cx="4057650" cy="2705100"/>
            <wp:effectExtent l="0" t="0" r="0" b="0"/>
            <wp:docPr id="4" name="Slika 4" descr="Povijest knjige - Portal za š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ijest knjige - Portal za šk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2705100"/>
                    </a:xfrm>
                    <a:prstGeom prst="rect">
                      <a:avLst/>
                    </a:prstGeom>
                    <a:noFill/>
                    <a:ln>
                      <a:noFill/>
                    </a:ln>
                  </pic:spPr>
                </pic:pic>
              </a:graphicData>
            </a:graphic>
          </wp:inline>
        </w:drawing>
      </w:r>
    </w:p>
    <w:p w:rsidR="00A30AE8" w:rsidRDefault="00A30AE8" w:rsidP="00A30AE8">
      <w:pPr>
        <w:jc w:val="center"/>
        <w:rPr>
          <w:rFonts w:ascii="Times New Roman" w:hAnsi="Times New Roman" w:cs="Times New Roman"/>
          <w:sz w:val="36"/>
          <w:szCs w:val="36"/>
        </w:rPr>
      </w:pPr>
    </w:p>
    <w:p w:rsidR="00A30AE8" w:rsidRDefault="00A30AE8" w:rsidP="00A30AE8">
      <w:pPr>
        <w:jc w:val="center"/>
        <w:rPr>
          <w:rFonts w:ascii="Times New Roman" w:hAnsi="Times New Roman" w:cs="Times New Roman"/>
          <w:b/>
          <w:sz w:val="52"/>
          <w:szCs w:val="52"/>
        </w:rPr>
      </w:pPr>
      <w:r>
        <w:rPr>
          <w:rFonts w:ascii="Times New Roman" w:hAnsi="Times New Roman" w:cs="Times New Roman"/>
          <w:b/>
          <w:sz w:val="52"/>
          <w:szCs w:val="52"/>
        </w:rPr>
        <w:t xml:space="preserve">PLAN NABAVE KNJIŽNIČNE GRAĐE </w:t>
      </w:r>
    </w:p>
    <w:p w:rsidR="00A30AE8" w:rsidRDefault="00A30AE8" w:rsidP="00A30AE8">
      <w:pPr>
        <w:jc w:val="center"/>
        <w:rPr>
          <w:rFonts w:ascii="Times New Roman" w:hAnsi="Times New Roman" w:cs="Times New Roman"/>
          <w:b/>
          <w:sz w:val="36"/>
          <w:szCs w:val="36"/>
        </w:rPr>
      </w:pPr>
      <w:r>
        <w:rPr>
          <w:rFonts w:ascii="Times New Roman" w:hAnsi="Times New Roman" w:cs="Times New Roman"/>
          <w:b/>
          <w:sz w:val="36"/>
          <w:szCs w:val="36"/>
        </w:rPr>
        <w:t>SAMOSTALNE NARODNE KNJIŽNICE GOSPIĆ</w:t>
      </w:r>
    </w:p>
    <w:p w:rsidR="00A30AE8" w:rsidRDefault="00A30AE8" w:rsidP="00A30AE8">
      <w:pPr>
        <w:jc w:val="center"/>
        <w:rPr>
          <w:rFonts w:ascii="Times New Roman" w:hAnsi="Times New Roman" w:cs="Times New Roman"/>
          <w:sz w:val="36"/>
          <w:szCs w:val="36"/>
        </w:rPr>
      </w:pPr>
    </w:p>
    <w:p w:rsidR="00A30AE8" w:rsidRDefault="00A30AE8" w:rsidP="00A30AE8">
      <w:pPr>
        <w:jc w:val="center"/>
        <w:rPr>
          <w:rFonts w:ascii="Times New Roman" w:hAnsi="Times New Roman" w:cs="Times New Roman"/>
          <w:sz w:val="24"/>
          <w:szCs w:val="24"/>
        </w:rPr>
      </w:pPr>
    </w:p>
    <w:p w:rsidR="00A30AE8" w:rsidRPr="0087414E" w:rsidRDefault="00A30AE8" w:rsidP="00A30AE8">
      <w:pPr>
        <w:jc w:val="center"/>
        <w:rPr>
          <w:rFonts w:ascii="Times New Roman" w:hAnsi="Times New Roman" w:cs="Times New Roman"/>
          <w:sz w:val="28"/>
          <w:szCs w:val="28"/>
        </w:rPr>
      </w:pPr>
      <w:r>
        <w:rPr>
          <w:rFonts w:ascii="Times New Roman" w:hAnsi="Times New Roman" w:cs="Times New Roman"/>
          <w:sz w:val="28"/>
          <w:szCs w:val="28"/>
        </w:rPr>
        <w:t>Gospić, siječanj 2023.</w:t>
      </w:r>
    </w:p>
    <w:p w:rsidR="00A30AE8" w:rsidRDefault="00A30AE8" w:rsidP="00A30AE8">
      <w:pPr>
        <w:spacing w:after="0" w:line="240" w:lineRule="auto"/>
        <w:rPr>
          <w:rFonts w:ascii="Times New Roman" w:hAnsi="Times New Roman" w:cs="Times New Roman"/>
          <w:sz w:val="24"/>
          <w:szCs w:val="24"/>
        </w:rPr>
      </w:pPr>
    </w:p>
    <w:p w:rsidR="00A30AE8" w:rsidRDefault="00A30AE8" w:rsidP="00A30AE8">
      <w:pPr>
        <w:pStyle w:val="Naslov1"/>
        <w:rPr>
          <w:color w:val="FF0000"/>
        </w:rPr>
      </w:pPr>
      <w:r w:rsidRPr="004A23F4">
        <w:rPr>
          <w:color w:val="FF0000"/>
        </w:rPr>
        <w:t>1.UVOD</w:t>
      </w:r>
    </w:p>
    <w:p w:rsidR="00A30AE8" w:rsidRDefault="00A30AE8" w:rsidP="00A30AE8">
      <w:pPr>
        <w:spacing w:after="160" w:line="259" w:lineRule="auto"/>
      </w:pPr>
    </w:p>
    <w:p w:rsidR="00A30AE8" w:rsidRDefault="00A30AE8" w:rsidP="00A30AE8">
      <w:pPr>
        <w:spacing w:after="160" w:line="360" w:lineRule="auto"/>
        <w:jc w:val="both"/>
        <w:rPr>
          <w:rFonts w:ascii="Times New Roman" w:hAnsi="Times New Roman" w:cs="Times New Roman"/>
          <w:sz w:val="24"/>
          <w:szCs w:val="24"/>
        </w:rPr>
      </w:pPr>
      <w:r w:rsidRPr="004761F9">
        <w:rPr>
          <w:rFonts w:ascii="Times New Roman" w:hAnsi="Times New Roman" w:cs="Times New Roman"/>
          <w:sz w:val="24"/>
          <w:szCs w:val="24"/>
        </w:rPr>
        <w:t>Nabava građe i izgradnja fonda spada u najznačajnije dijelove knjižničnog poslovanja i ujedno je pretpostavka za ostale djelatnosti, od stručne obradbe i informacijske službe, do svih oblika korištenja i posudbe. Prema teoretičaru E. Evansu, izgradnja knjižnoga fonda složen je postupak kojim se nastoji otkriti njegova snaga i slabost vezano uz potrebe korisnika i raspoložive izvore znanja i obavijesti unutar zajednice korisnika, te ispraviti njegove slabosti.</w:t>
      </w:r>
    </w:p>
    <w:p w:rsidR="00A30AE8" w:rsidRDefault="00A30AE8" w:rsidP="00A30AE8">
      <w:pPr>
        <w:spacing w:after="160" w:line="360" w:lineRule="auto"/>
        <w:jc w:val="both"/>
        <w:rPr>
          <w:rFonts w:ascii="Times New Roman" w:hAnsi="Times New Roman" w:cs="Times New Roman"/>
          <w:sz w:val="24"/>
          <w:szCs w:val="24"/>
        </w:rPr>
      </w:pPr>
      <w:r w:rsidRPr="004761F9">
        <w:rPr>
          <w:rFonts w:ascii="Times New Roman" w:hAnsi="Times New Roman" w:cs="Times New Roman"/>
          <w:sz w:val="24"/>
          <w:szCs w:val="24"/>
        </w:rPr>
        <w:t xml:space="preserve"> Knjižnični fond je potrebno pažljivo, savjesno i neprestano dograđivati, imajući na umu potrebe korisnika. </w:t>
      </w:r>
    </w:p>
    <w:p w:rsidR="00A30AE8" w:rsidRPr="004761F9" w:rsidRDefault="00A30AE8" w:rsidP="00A30AE8">
      <w:pPr>
        <w:spacing w:after="160" w:line="360" w:lineRule="auto"/>
        <w:jc w:val="both"/>
        <w:rPr>
          <w:rFonts w:ascii="Times New Roman" w:hAnsi="Times New Roman" w:cs="Times New Roman"/>
          <w:sz w:val="24"/>
          <w:szCs w:val="24"/>
        </w:rPr>
      </w:pPr>
      <w:r w:rsidRPr="004761F9">
        <w:rPr>
          <w:rFonts w:ascii="Times New Roman" w:hAnsi="Times New Roman" w:cs="Times New Roman"/>
          <w:sz w:val="24"/>
          <w:szCs w:val="24"/>
        </w:rPr>
        <w:t xml:space="preserve"> U knjižničnom poslovanju navode se četiri načina nabave građe: kupnja, zamjena, dar i obvezni primjerak. Premda je kupnja najbolji oblik nabave jer omogućuje sustavnost i dosljednost u pribavljanju građe, treba i</w:t>
      </w:r>
      <w:r>
        <w:rPr>
          <w:rFonts w:ascii="Times New Roman" w:hAnsi="Times New Roman" w:cs="Times New Roman"/>
          <w:sz w:val="24"/>
          <w:szCs w:val="24"/>
        </w:rPr>
        <w:t>staknuti</w:t>
      </w:r>
      <w:r w:rsidRPr="004761F9">
        <w:rPr>
          <w:rFonts w:ascii="Times New Roman" w:hAnsi="Times New Roman" w:cs="Times New Roman"/>
          <w:sz w:val="24"/>
          <w:szCs w:val="24"/>
        </w:rPr>
        <w:t xml:space="preserve"> da su i ostali načini nabave neizbježni u izgradnji fonda. </w:t>
      </w:r>
      <w:r w:rsidRPr="004761F9">
        <w:rPr>
          <w:rFonts w:ascii="Times New Roman" w:hAnsi="Times New Roman" w:cs="Times New Roman"/>
          <w:sz w:val="24"/>
          <w:szCs w:val="24"/>
        </w:rPr>
        <w:br w:type="page"/>
      </w:r>
    </w:p>
    <w:p w:rsidR="00A30AE8" w:rsidRDefault="00A30AE8" w:rsidP="00A30AE8">
      <w:pPr>
        <w:pStyle w:val="Naslov1"/>
        <w:numPr>
          <w:ilvl w:val="0"/>
          <w:numId w:val="2"/>
        </w:numPr>
        <w:tabs>
          <w:tab w:val="num" w:pos="360"/>
        </w:tabs>
        <w:ind w:left="0" w:firstLine="0"/>
        <w:rPr>
          <w:color w:val="FF0000"/>
        </w:rPr>
      </w:pPr>
      <w:r>
        <w:rPr>
          <w:color w:val="FF0000"/>
        </w:rPr>
        <w:lastRenderedPageBreak/>
        <w:t>OPĆENITO  O PLANU NABAVE</w:t>
      </w:r>
    </w:p>
    <w:p w:rsidR="00A30AE8" w:rsidRDefault="00A30AE8" w:rsidP="00A30AE8"/>
    <w:p w:rsidR="00A30AE8" w:rsidRPr="00C01EAB" w:rsidRDefault="00A30AE8" w:rsidP="00A30AE8">
      <w:pPr>
        <w:spacing w:after="0" w:line="360" w:lineRule="auto"/>
        <w:ind w:firstLine="709"/>
        <w:jc w:val="both"/>
        <w:rPr>
          <w:rFonts w:ascii="Times New Roman" w:hAnsi="Times New Roman" w:cs="Times New Roman"/>
          <w:sz w:val="24"/>
          <w:szCs w:val="24"/>
        </w:rPr>
      </w:pPr>
      <w:r w:rsidRPr="00C01EAB">
        <w:rPr>
          <w:rFonts w:ascii="Times New Roman" w:hAnsi="Times New Roman" w:cs="Times New Roman"/>
          <w:sz w:val="24"/>
          <w:szCs w:val="24"/>
        </w:rPr>
        <w:t xml:space="preserve">Izgradnja knjižničnog fonda temeljna je djelatnost narodne </w:t>
      </w:r>
      <w:r>
        <w:rPr>
          <w:rFonts w:ascii="Times New Roman" w:hAnsi="Times New Roman" w:cs="Times New Roman"/>
          <w:sz w:val="24"/>
          <w:szCs w:val="24"/>
        </w:rPr>
        <w:t>K</w:t>
      </w:r>
      <w:r w:rsidRPr="00C01EAB">
        <w:rPr>
          <w:rFonts w:ascii="Times New Roman" w:hAnsi="Times New Roman" w:cs="Times New Roman"/>
          <w:sz w:val="24"/>
          <w:szCs w:val="24"/>
        </w:rPr>
        <w:t>njižnice za koju je potrebno sustavno planiranje i nadograđivanje nabavne politike, uzimajući u obzir korisničke potrebe te Smjernice za nabavu knjižnične građe.</w:t>
      </w:r>
    </w:p>
    <w:p w:rsidR="00A30AE8" w:rsidRPr="00C01EAB" w:rsidRDefault="00A30AE8" w:rsidP="00A30AE8">
      <w:pPr>
        <w:autoSpaceDE w:val="0"/>
        <w:spacing w:after="0" w:line="360" w:lineRule="auto"/>
        <w:ind w:firstLine="709"/>
        <w:jc w:val="both"/>
        <w:rPr>
          <w:rFonts w:ascii="Times New Roman" w:hAnsi="Times New Roman" w:cs="Times New Roman"/>
          <w:sz w:val="24"/>
          <w:szCs w:val="24"/>
        </w:rPr>
      </w:pPr>
      <w:r w:rsidRPr="00C01EAB">
        <w:rPr>
          <w:rFonts w:ascii="Times New Roman" w:hAnsi="Times New Roman" w:cs="Times New Roman"/>
          <w:sz w:val="24"/>
          <w:szCs w:val="24"/>
        </w:rPr>
        <w:t>Jasno definirana nabavna politika i smjernice za nabavu koje iz nje proizlaze, osiguravaju sustavnost i dosljednost u izgradnji knjižničnog fonda.</w:t>
      </w:r>
    </w:p>
    <w:p w:rsidR="00A30AE8" w:rsidRPr="00C01EAB" w:rsidRDefault="00A30AE8" w:rsidP="00A30AE8">
      <w:pPr>
        <w:autoSpaceDE w:val="0"/>
        <w:spacing w:after="0" w:line="360" w:lineRule="auto"/>
        <w:ind w:firstLine="709"/>
        <w:jc w:val="both"/>
        <w:rPr>
          <w:rFonts w:ascii="Times New Roman" w:hAnsi="Times New Roman" w:cs="Times New Roman"/>
          <w:sz w:val="24"/>
          <w:szCs w:val="24"/>
        </w:rPr>
      </w:pPr>
      <w:r w:rsidRPr="00C01EAB">
        <w:rPr>
          <w:rFonts w:ascii="Times New Roman" w:hAnsi="Times New Roman" w:cs="Times New Roman"/>
          <w:sz w:val="24"/>
          <w:szCs w:val="24"/>
        </w:rPr>
        <w:t>Izgradnju knjižničnog fonda čini nabava nove građe temeljenu na kupnji, otkupu Ministarstva Kulture Republike Hrvatske, daru, zamjeni (naknada za izgubljene primjerke). Veliki broj naslova dobivenih otkupom MK odnose se na vrlo vrijedne i skupe monografije, što predstavlja značajan doprinos u izgradnji kvalitetnog fonda.</w:t>
      </w:r>
    </w:p>
    <w:p w:rsidR="00A30AE8" w:rsidRPr="00C01EAB" w:rsidRDefault="00A30AE8" w:rsidP="00A30AE8">
      <w:pPr>
        <w:autoSpaceDE w:val="0"/>
        <w:spacing w:after="0" w:line="360" w:lineRule="auto"/>
        <w:ind w:firstLine="709"/>
        <w:jc w:val="both"/>
        <w:rPr>
          <w:rFonts w:ascii="Times New Roman" w:hAnsi="Times New Roman" w:cs="Times New Roman"/>
          <w:sz w:val="24"/>
          <w:szCs w:val="24"/>
        </w:rPr>
      </w:pPr>
      <w:r w:rsidRPr="00C01EAB">
        <w:rPr>
          <w:rFonts w:ascii="Times New Roman" w:hAnsi="Times New Roman" w:cs="Times New Roman"/>
          <w:sz w:val="24"/>
          <w:szCs w:val="24"/>
        </w:rPr>
        <w:t>Samostalna narodna knjižnica Gospić tijekom godine izlučuje i otpisuje neaktualn</w:t>
      </w:r>
      <w:r>
        <w:rPr>
          <w:rFonts w:ascii="Times New Roman" w:hAnsi="Times New Roman" w:cs="Times New Roman"/>
          <w:sz w:val="24"/>
          <w:szCs w:val="24"/>
        </w:rPr>
        <w:t>u</w:t>
      </w:r>
      <w:r w:rsidRPr="00C01EAB">
        <w:rPr>
          <w:rFonts w:ascii="Times New Roman" w:hAnsi="Times New Roman" w:cs="Times New Roman"/>
          <w:sz w:val="24"/>
          <w:szCs w:val="24"/>
        </w:rPr>
        <w:t xml:space="preserve"> (zastarjel</w:t>
      </w:r>
      <w:r>
        <w:rPr>
          <w:rFonts w:ascii="Times New Roman" w:hAnsi="Times New Roman" w:cs="Times New Roman"/>
          <w:sz w:val="24"/>
          <w:szCs w:val="24"/>
        </w:rPr>
        <w:t>u</w:t>
      </w:r>
      <w:r w:rsidRPr="00C01EAB">
        <w:rPr>
          <w:rFonts w:ascii="Times New Roman" w:hAnsi="Times New Roman" w:cs="Times New Roman"/>
          <w:sz w:val="24"/>
          <w:szCs w:val="24"/>
        </w:rPr>
        <w:t>, uništen</w:t>
      </w:r>
      <w:r>
        <w:rPr>
          <w:rFonts w:ascii="Times New Roman" w:hAnsi="Times New Roman" w:cs="Times New Roman"/>
          <w:sz w:val="24"/>
          <w:szCs w:val="24"/>
        </w:rPr>
        <w:t>u</w:t>
      </w:r>
      <w:r w:rsidRPr="00C01EAB">
        <w:rPr>
          <w:rFonts w:ascii="Times New Roman" w:hAnsi="Times New Roman" w:cs="Times New Roman"/>
          <w:sz w:val="24"/>
          <w:szCs w:val="24"/>
        </w:rPr>
        <w:t>, otuđen</w:t>
      </w:r>
      <w:r>
        <w:rPr>
          <w:rFonts w:ascii="Times New Roman" w:hAnsi="Times New Roman" w:cs="Times New Roman"/>
          <w:sz w:val="24"/>
          <w:szCs w:val="24"/>
        </w:rPr>
        <w:t>u</w:t>
      </w:r>
      <w:r w:rsidRPr="00C01EAB">
        <w:rPr>
          <w:rFonts w:ascii="Times New Roman" w:hAnsi="Times New Roman" w:cs="Times New Roman"/>
          <w:sz w:val="24"/>
          <w:szCs w:val="24"/>
        </w:rPr>
        <w:t xml:space="preserve"> ili oštećen</w:t>
      </w:r>
      <w:r>
        <w:rPr>
          <w:rFonts w:ascii="Times New Roman" w:hAnsi="Times New Roman" w:cs="Times New Roman"/>
          <w:sz w:val="24"/>
          <w:szCs w:val="24"/>
        </w:rPr>
        <w:t>u</w:t>
      </w:r>
      <w:r w:rsidRPr="00C01EAB">
        <w:rPr>
          <w:rFonts w:ascii="Times New Roman" w:hAnsi="Times New Roman" w:cs="Times New Roman"/>
          <w:sz w:val="24"/>
          <w:szCs w:val="24"/>
        </w:rPr>
        <w:t xml:space="preserve">) </w:t>
      </w:r>
      <w:r>
        <w:rPr>
          <w:rFonts w:ascii="Times New Roman" w:hAnsi="Times New Roman" w:cs="Times New Roman"/>
          <w:sz w:val="24"/>
          <w:szCs w:val="24"/>
        </w:rPr>
        <w:t>građu</w:t>
      </w:r>
      <w:r w:rsidRPr="00C01EAB">
        <w:rPr>
          <w:rFonts w:ascii="Times New Roman" w:hAnsi="Times New Roman" w:cs="Times New Roman"/>
          <w:sz w:val="24"/>
          <w:szCs w:val="24"/>
        </w:rPr>
        <w:t>.</w:t>
      </w:r>
    </w:p>
    <w:p w:rsidR="00A30AE8" w:rsidRPr="00C01EAB" w:rsidRDefault="00A30AE8" w:rsidP="00A30AE8">
      <w:pPr>
        <w:autoSpaceDE w:val="0"/>
        <w:spacing w:after="0" w:line="360" w:lineRule="auto"/>
        <w:ind w:firstLine="709"/>
        <w:jc w:val="both"/>
        <w:rPr>
          <w:rFonts w:ascii="Times New Roman" w:hAnsi="Times New Roman" w:cs="Times New Roman"/>
          <w:sz w:val="24"/>
          <w:szCs w:val="24"/>
        </w:rPr>
      </w:pPr>
      <w:r w:rsidRPr="00C01EAB">
        <w:rPr>
          <w:rFonts w:ascii="Times New Roman" w:hAnsi="Times New Roman" w:cs="Times New Roman"/>
          <w:sz w:val="24"/>
          <w:szCs w:val="24"/>
        </w:rPr>
        <w:t>Nabava nove građe, kao i otpis neaktualne, nije proizvoljan čin nego se temelji na stručnim procjenama, a u skladu s važećim zakonima i propisima (Standardi za narodne knjižnice u RH, Pravilnik o reviziji i otpisu knjižnične građe, NN21/02., Pravilnik o uvjetima i načinu korištenja knjižnične građe i usluga Samostalne narodne knjižnice Gospić.</w:t>
      </w:r>
    </w:p>
    <w:p w:rsidR="00A30AE8" w:rsidRPr="00C01EAB" w:rsidRDefault="00A30AE8" w:rsidP="00A30AE8">
      <w:pPr>
        <w:autoSpaceDE w:val="0"/>
        <w:spacing w:after="0" w:line="360" w:lineRule="auto"/>
        <w:ind w:firstLine="709"/>
        <w:jc w:val="both"/>
        <w:rPr>
          <w:rFonts w:ascii="Times New Roman" w:hAnsi="Times New Roman" w:cs="Times New Roman"/>
          <w:sz w:val="24"/>
          <w:szCs w:val="24"/>
        </w:rPr>
      </w:pPr>
      <w:r w:rsidRPr="00C01EAB">
        <w:rPr>
          <w:rFonts w:ascii="Times New Roman" w:hAnsi="Times New Roman" w:cs="Times New Roman"/>
          <w:sz w:val="24"/>
          <w:szCs w:val="24"/>
        </w:rPr>
        <w:t xml:space="preserve">Prema Standardima za narodne knjižnice, </w:t>
      </w:r>
      <w:r w:rsidRPr="00E36566">
        <w:rPr>
          <w:rFonts w:ascii="Times New Roman" w:hAnsi="Times New Roman" w:cs="Times New Roman"/>
          <w:sz w:val="24"/>
          <w:szCs w:val="24"/>
        </w:rPr>
        <w:t> </w:t>
      </w:r>
      <w:r>
        <w:rPr>
          <w:rFonts w:ascii="Times New Roman" w:hAnsi="Times New Roman" w:cs="Times New Roman"/>
          <w:sz w:val="24"/>
          <w:szCs w:val="24"/>
        </w:rPr>
        <w:t>k</w:t>
      </w:r>
      <w:r w:rsidRPr="00E36566">
        <w:rPr>
          <w:rFonts w:ascii="Times New Roman" w:hAnsi="Times New Roman" w:cs="Times New Roman"/>
          <w:sz w:val="24"/>
          <w:szCs w:val="24"/>
        </w:rPr>
        <w:t>njižni fond županijske matične knjižnice u pravilu treba sadržavati 55 % beletristike, 45 % stručne, znanstvene i popularno znanstvene literature, od koje najmanje 1 % čini referentna građa</w:t>
      </w:r>
      <w:r>
        <w:rPr>
          <w:rFonts w:ascii="Times New Roman" w:hAnsi="Times New Roman" w:cs="Times New Roman"/>
          <w:sz w:val="24"/>
          <w:szCs w:val="24"/>
        </w:rPr>
        <w:t xml:space="preserve"> </w:t>
      </w:r>
      <w:r>
        <w:rPr>
          <w:rStyle w:val="Referencafusnote"/>
          <w:rFonts w:ascii="Times New Roman" w:hAnsi="Times New Roman" w:cs="Times New Roman"/>
          <w:sz w:val="24"/>
          <w:szCs w:val="24"/>
        </w:rPr>
        <w:footnoteReference w:id="1"/>
      </w:r>
    </w:p>
    <w:p w:rsidR="00A30AE8" w:rsidRPr="00C01EAB" w:rsidRDefault="00A30AE8" w:rsidP="00A30AE8">
      <w:pPr>
        <w:autoSpaceDE w:val="0"/>
        <w:spacing w:after="0" w:line="360" w:lineRule="auto"/>
        <w:ind w:firstLine="709"/>
        <w:jc w:val="both"/>
        <w:rPr>
          <w:rFonts w:ascii="Times New Roman" w:hAnsi="Times New Roman" w:cs="Times New Roman"/>
          <w:sz w:val="24"/>
          <w:szCs w:val="24"/>
        </w:rPr>
      </w:pPr>
      <w:r w:rsidRPr="00C01EAB">
        <w:rPr>
          <w:rFonts w:ascii="Times New Roman" w:hAnsi="Times New Roman" w:cs="Times New Roman"/>
          <w:sz w:val="24"/>
          <w:szCs w:val="24"/>
        </w:rPr>
        <w:t>U skladu s</w:t>
      </w:r>
      <w:r>
        <w:rPr>
          <w:rFonts w:ascii="Times New Roman" w:hAnsi="Times New Roman" w:cs="Times New Roman"/>
          <w:sz w:val="24"/>
          <w:szCs w:val="24"/>
        </w:rPr>
        <w:t xml:space="preserve">a </w:t>
      </w:r>
      <w:r w:rsidRPr="00C01EAB">
        <w:rPr>
          <w:rFonts w:ascii="Times New Roman" w:hAnsi="Times New Roman" w:cs="Times New Roman"/>
          <w:sz w:val="24"/>
          <w:szCs w:val="24"/>
        </w:rPr>
        <w:t>Standard</w:t>
      </w:r>
      <w:r>
        <w:rPr>
          <w:rFonts w:ascii="Times New Roman" w:hAnsi="Times New Roman" w:cs="Times New Roman"/>
          <w:sz w:val="24"/>
          <w:szCs w:val="24"/>
        </w:rPr>
        <w:t>ima</w:t>
      </w:r>
      <w:r w:rsidRPr="00C01EAB">
        <w:rPr>
          <w:rFonts w:ascii="Times New Roman" w:hAnsi="Times New Roman" w:cs="Times New Roman"/>
          <w:sz w:val="24"/>
          <w:szCs w:val="24"/>
        </w:rPr>
        <w:t xml:space="preserve"> za narodne knjižnice u tekućoj godini (kupnjom, obveznim primjerkom, darovima, zamjenom i otkupom), standard prinove građe je najmanje 200 knjiga na 1.000 stanovnika.</w:t>
      </w:r>
    </w:p>
    <w:p w:rsidR="00A30AE8" w:rsidRPr="00C01EAB" w:rsidRDefault="00A30AE8" w:rsidP="00A30AE8">
      <w:pPr>
        <w:autoSpaceDE w:val="0"/>
        <w:spacing w:after="0" w:line="360" w:lineRule="auto"/>
        <w:ind w:firstLine="709"/>
        <w:jc w:val="both"/>
        <w:rPr>
          <w:rFonts w:ascii="Times New Roman" w:hAnsi="Times New Roman" w:cs="Times New Roman"/>
          <w:sz w:val="24"/>
          <w:szCs w:val="24"/>
        </w:rPr>
      </w:pPr>
      <w:r w:rsidRPr="00C01EAB">
        <w:rPr>
          <w:rFonts w:ascii="Times New Roman" w:hAnsi="Times New Roman" w:cs="Times New Roman"/>
          <w:sz w:val="24"/>
          <w:szCs w:val="24"/>
          <w:shd w:val="clear" w:color="auto" w:fill="FFFFFF"/>
        </w:rPr>
        <w:t xml:space="preserve">Nabavna politika slijedi zadane norme, te stoga </w:t>
      </w:r>
      <w:r>
        <w:rPr>
          <w:rFonts w:ascii="Times New Roman" w:hAnsi="Times New Roman" w:cs="Times New Roman"/>
          <w:sz w:val="24"/>
          <w:szCs w:val="24"/>
          <w:shd w:val="clear" w:color="auto" w:fill="FFFFFF"/>
        </w:rPr>
        <w:t xml:space="preserve"> ćemo </w:t>
      </w:r>
      <w:r w:rsidRPr="00C01EAB">
        <w:rPr>
          <w:rFonts w:ascii="Times New Roman" w:hAnsi="Times New Roman" w:cs="Times New Roman"/>
          <w:sz w:val="24"/>
          <w:szCs w:val="24"/>
          <w:shd w:val="clear" w:color="auto" w:fill="FFFFFF"/>
        </w:rPr>
        <w:t xml:space="preserve">nastoji nabavljati građu prema Standardima za narodne knjižnice, no odstupanja su uvijek moguća s obzirom na potrebe korisnika. Pri odabiru građe poštujemo dva kriterija: prvi kriterij potražnje kojim se zadovoljava struktura korisnika, njihove potrebe i zahtjevi, drugi kriterij kvalitete podrazumijeva nabavu kvalitetne građe koja će sadržajem (i oblikom) dugoročno oplemeniti pojedine fondove i zbirke </w:t>
      </w:r>
    </w:p>
    <w:p w:rsidR="00A30AE8" w:rsidRPr="00322545" w:rsidRDefault="00A30AE8" w:rsidP="00A30AE8">
      <w:pPr>
        <w:autoSpaceDE w:val="0"/>
        <w:spacing w:after="0" w:line="360" w:lineRule="auto"/>
        <w:ind w:firstLine="709"/>
        <w:jc w:val="both"/>
        <w:rPr>
          <w:rFonts w:ascii="Times New Roman" w:hAnsi="Times New Roman" w:cs="Times New Roman"/>
        </w:rPr>
      </w:pPr>
      <w:r w:rsidRPr="00C01EAB">
        <w:rPr>
          <w:rFonts w:ascii="Times New Roman" w:hAnsi="Times New Roman" w:cs="Times New Roman"/>
          <w:sz w:val="24"/>
          <w:szCs w:val="24"/>
        </w:rPr>
        <w:t xml:space="preserve">Samostalna narodna knjižnica Gospić temeljem IFLA-inim </w:t>
      </w:r>
      <w:r w:rsidRPr="00C01EAB">
        <w:rPr>
          <w:rFonts w:ascii="Times New Roman" w:hAnsi="Times New Roman" w:cs="Times New Roman"/>
          <w:i/>
          <w:iCs/>
          <w:sz w:val="24"/>
          <w:szCs w:val="24"/>
        </w:rPr>
        <w:t>Smjernicama za</w:t>
      </w:r>
      <w:r>
        <w:rPr>
          <w:rFonts w:ascii="Times New Roman" w:hAnsi="Times New Roman" w:cs="Times New Roman"/>
          <w:i/>
          <w:iCs/>
          <w:sz w:val="24"/>
          <w:szCs w:val="24"/>
        </w:rPr>
        <w:t xml:space="preserve"> </w:t>
      </w:r>
      <w:r w:rsidRPr="00C01EAB">
        <w:rPr>
          <w:rFonts w:ascii="Times New Roman" w:hAnsi="Times New Roman" w:cs="Times New Roman"/>
          <w:i/>
          <w:iCs/>
          <w:sz w:val="24"/>
          <w:szCs w:val="24"/>
        </w:rPr>
        <w:t xml:space="preserve">audiovizualnu i multimedijsku građu u knjižnicama i srodnim ustanovama </w:t>
      </w:r>
      <w:r w:rsidRPr="00C01EAB">
        <w:rPr>
          <w:rFonts w:ascii="Times New Roman" w:hAnsi="Times New Roman" w:cs="Times New Roman"/>
          <w:sz w:val="24"/>
          <w:szCs w:val="24"/>
        </w:rPr>
        <w:t xml:space="preserve">nastoji slijediti razvoj suvremenih informacijsko-komunikacijskih tehnologija. Stoga pored tradicionalne </w:t>
      </w:r>
      <w:r w:rsidRPr="00322545">
        <w:rPr>
          <w:rFonts w:ascii="Times New Roman" w:hAnsi="Times New Roman" w:cs="Times New Roman"/>
          <w:sz w:val="24"/>
          <w:szCs w:val="24"/>
        </w:rPr>
        <w:t>tiskane građe nabavlja i audiovizualna, multimedijsku te elektroničku građu.</w:t>
      </w:r>
    </w:p>
    <w:p w:rsidR="00A30AE8" w:rsidRDefault="00A30AE8" w:rsidP="00A30AE8">
      <w:pPr>
        <w:pStyle w:val="Bezproreda"/>
        <w:spacing w:line="360" w:lineRule="auto"/>
        <w:ind w:firstLine="709"/>
        <w:jc w:val="both"/>
        <w:rPr>
          <w:rFonts w:ascii="Times New Roman" w:hAnsi="Times New Roman"/>
          <w:sz w:val="24"/>
          <w:szCs w:val="24"/>
        </w:rPr>
      </w:pPr>
      <w:r w:rsidRPr="00C01EAB">
        <w:rPr>
          <w:rFonts w:ascii="Times New Roman" w:hAnsi="Times New Roman"/>
          <w:sz w:val="24"/>
          <w:szCs w:val="24"/>
        </w:rPr>
        <w:lastRenderedPageBreak/>
        <w:t xml:space="preserve">Također već </w:t>
      </w:r>
      <w:r>
        <w:rPr>
          <w:rFonts w:ascii="Times New Roman" w:hAnsi="Times New Roman"/>
          <w:sz w:val="24"/>
          <w:szCs w:val="24"/>
        </w:rPr>
        <w:t>sedmu</w:t>
      </w:r>
      <w:r w:rsidRPr="00C01EAB">
        <w:rPr>
          <w:rFonts w:ascii="Times New Roman" w:hAnsi="Times New Roman"/>
          <w:sz w:val="24"/>
          <w:szCs w:val="24"/>
        </w:rPr>
        <w:t xml:space="preserve"> godinu za redom nastojimo osnovati i igroteku za koju nam je prema Pravilniku o matičnoj djelatnosti knjižnica u Republici hrvatskoj potrebno najmanje 500 jedinica građe kako bi kvalitetnu igračku učinili dostupnu svakom djetetu.</w:t>
      </w:r>
      <w:r>
        <w:rPr>
          <w:rFonts w:ascii="Times New Roman" w:hAnsi="Times New Roman"/>
          <w:sz w:val="24"/>
          <w:szCs w:val="24"/>
        </w:rPr>
        <w:t xml:space="preserve"> </w:t>
      </w:r>
    </w:p>
    <w:p w:rsidR="00A30AE8" w:rsidRPr="009C5516" w:rsidRDefault="00A30AE8" w:rsidP="00A30AE8">
      <w:pPr>
        <w:spacing w:line="360" w:lineRule="auto"/>
        <w:rPr>
          <w:rFonts w:ascii="Times New Roman" w:hAnsi="Times New Roman" w:cs="Times New Roman"/>
          <w:sz w:val="24"/>
          <w:szCs w:val="24"/>
        </w:rPr>
      </w:pPr>
      <w:r w:rsidRPr="009C5516">
        <w:rPr>
          <w:rFonts w:ascii="Times New Roman" w:hAnsi="Times New Roman" w:cs="Times New Roman"/>
          <w:sz w:val="24"/>
          <w:szCs w:val="24"/>
        </w:rPr>
        <w:t xml:space="preserve">Knjižnična građa </w:t>
      </w:r>
      <w:r>
        <w:rPr>
          <w:rFonts w:ascii="Times New Roman" w:hAnsi="Times New Roman" w:cs="Times New Roman"/>
          <w:sz w:val="24"/>
          <w:szCs w:val="24"/>
        </w:rPr>
        <w:t xml:space="preserve"> u SNK Gospić </w:t>
      </w:r>
      <w:r w:rsidRPr="009C5516">
        <w:rPr>
          <w:rFonts w:ascii="Times New Roman" w:hAnsi="Times New Roman" w:cs="Times New Roman"/>
          <w:sz w:val="24"/>
          <w:szCs w:val="24"/>
        </w:rPr>
        <w:t>organizirana je u nekoliko knjižničnih zbirki:</w:t>
      </w:r>
    </w:p>
    <w:p w:rsidR="00A30AE8" w:rsidRPr="009C5516" w:rsidRDefault="00A30AE8" w:rsidP="00A30AE8">
      <w:pPr>
        <w:pStyle w:val="Odlomakpopisa"/>
        <w:numPr>
          <w:ilvl w:val="0"/>
          <w:numId w:val="1"/>
        </w:numPr>
        <w:spacing w:after="160" w:line="360" w:lineRule="auto"/>
        <w:rPr>
          <w:rFonts w:ascii="Times New Roman" w:hAnsi="Times New Roman" w:cs="Times New Roman"/>
          <w:sz w:val="24"/>
          <w:szCs w:val="24"/>
        </w:rPr>
      </w:pPr>
      <w:r w:rsidRPr="009C5516">
        <w:rPr>
          <w:rFonts w:ascii="Times New Roman" w:hAnsi="Times New Roman" w:cs="Times New Roman"/>
          <w:sz w:val="24"/>
          <w:szCs w:val="24"/>
        </w:rPr>
        <w:t>Opći fond</w:t>
      </w:r>
    </w:p>
    <w:p w:rsidR="00A30AE8" w:rsidRPr="009C5516" w:rsidRDefault="00A30AE8" w:rsidP="00A30AE8">
      <w:pPr>
        <w:pStyle w:val="Odlomakpopisa"/>
        <w:numPr>
          <w:ilvl w:val="0"/>
          <w:numId w:val="1"/>
        </w:numPr>
        <w:spacing w:after="160" w:line="360" w:lineRule="auto"/>
        <w:rPr>
          <w:rFonts w:ascii="Times New Roman" w:hAnsi="Times New Roman" w:cs="Times New Roman"/>
          <w:sz w:val="24"/>
          <w:szCs w:val="24"/>
        </w:rPr>
      </w:pPr>
      <w:r w:rsidRPr="009C5516">
        <w:rPr>
          <w:rFonts w:ascii="Times New Roman" w:hAnsi="Times New Roman" w:cs="Times New Roman"/>
          <w:sz w:val="24"/>
          <w:szCs w:val="24"/>
        </w:rPr>
        <w:t>Referentna zbirka</w:t>
      </w:r>
    </w:p>
    <w:p w:rsidR="00A30AE8" w:rsidRPr="009C5516" w:rsidRDefault="00A30AE8" w:rsidP="00A30AE8">
      <w:pPr>
        <w:pStyle w:val="Odlomakpopisa"/>
        <w:numPr>
          <w:ilvl w:val="0"/>
          <w:numId w:val="1"/>
        </w:numPr>
        <w:spacing w:after="160" w:line="360" w:lineRule="auto"/>
        <w:rPr>
          <w:rFonts w:ascii="Times New Roman" w:hAnsi="Times New Roman" w:cs="Times New Roman"/>
          <w:sz w:val="24"/>
          <w:szCs w:val="24"/>
        </w:rPr>
      </w:pPr>
      <w:r w:rsidRPr="009C5516">
        <w:rPr>
          <w:rFonts w:ascii="Times New Roman" w:hAnsi="Times New Roman" w:cs="Times New Roman"/>
          <w:sz w:val="24"/>
          <w:szCs w:val="24"/>
        </w:rPr>
        <w:t>Zavičajna zbirka</w:t>
      </w:r>
    </w:p>
    <w:p w:rsidR="00A30AE8" w:rsidRPr="009C5516" w:rsidRDefault="00A30AE8" w:rsidP="00A30AE8">
      <w:pPr>
        <w:pStyle w:val="Odlomakpopisa"/>
        <w:numPr>
          <w:ilvl w:val="0"/>
          <w:numId w:val="1"/>
        </w:numPr>
        <w:spacing w:after="160" w:line="360" w:lineRule="auto"/>
        <w:rPr>
          <w:rFonts w:ascii="Times New Roman" w:hAnsi="Times New Roman" w:cs="Times New Roman"/>
          <w:sz w:val="24"/>
          <w:szCs w:val="24"/>
        </w:rPr>
      </w:pPr>
      <w:r w:rsidRPr="009C5516">
        <w:rPr>
          <w:rFonts w:ascii="Times New Roman" w:hAnsi="Times New Roman" w:cs="Times New Roman"/>
          <w:sz w:val="24"/>
          <w:szCs w:val="24"/>
        </w:rPr>
        <w:t>Audio-vizualna građa</w:t>
      </w:r>
    </w:p>
    <w:p w:rsidR="00A30AE8" w:rsidRDefault="00A30AE8" w:rsidP="00A30AE8">
      <w:pPr>
        <w:pStyle w:val="Odlomakpopisa"/>
        <w:numPr>
          <w:ilvl w:val="0"/>
          <w:numId w:val="1"/>
        </w:numPr>
        <w:spacing w:after="160" w:line="360" w:lineRule="auto"/>
        <w:rPr>
          <w:rFonts w:ascii="Times New Roman" w:hAnsi="Times New Roman" w:cs="Times New Roman"/>
          <w:sz w:val="24"/>
          <w:szCs w:val="24"/>
        </w:rPr>
      </w:pPr>
      <w:r w:rsidRPr="009C5516">
        <w:rPr>
          <w:rFonts w:ascii="Times New Roman" w:hAnsi="Times New Roman" w:cs="Times New Roman"/>
          <w:sz w:val="24"/>
          <w:szCs w:val="24"/>
        </w:rPr>
        <w:t>Igračke</w:t>
      </w:r>
    </w:p>
    <w:p w:rsidR="00A30AE8" w:rsidRDefault="00A30AE8" w:rsidP="00A30AE8">
      <w:pPr>
        <w:spacing w:line="360" w:lineRule="auto"/>
        <w:jc w:val="both"/>
        <w:rPr>
          <w:rFonts w:ascii="Times New Roman" w:hAnsi="Times New Roman" w:cs="Times New Roman"/>
          <w:sz w:val="24"/>
          <w:szCs w:val="24"/>
        </w:rPr>
      </w:pPr>
      <w:r w:rsidRPr="00E012E6">
        <w:rPr>
          <w:rFonts w:ascii="Times New Roman" w:hAnsi="Times New Roman" w:cs="Times New Roman"/>
          <w:sz w:val="24"/>
          <w:szCs w:val="24"/>
        </w:rPr>
        <w:t xml:space="preserve">Stručna obrada knjižnične građe: svu nabavljenu knjižničnu građu nužno je stručno klasificirati prema pravila UDK-a (Univerzalna decimalna klasifikacija), inventarizirati i katalogizirati u </w:t>
      </w:r>
      <w:r>
        <w:rPr>
          <w:rFonts w:ascii="Times New Roman" w:hAnsi="Times New Roman" w:cs="Times New Roman"/>
          <w:sz w:val="24"/>
          <w:szCs w:val="24"/>
        </w:rPr>
        <w:t xml:space="preserve">knjižničnom softveru Zaki </w:t>
      </w:r>
      <w:r w:rsidRPr="00E012E6">
        <w:rPr>
          <w:rFonts w:ascii="Times New Roman" w:hAnsi="Times New Roman" w:cs="Times New Roman"/>
          <w:sz w:val="24"/>
          <w:szCs w:val="24"/>
        </w:rPr>
        <w:t xml:space="preserve"> kojeg knjižnica koristi kao stručni katalog za cjelokupni fond. Ovaj knjižnični program omogućava korisnicima pretraživanja kataloga Knjižnice putem interneta, stoga svaki korisnik može u bilo kojem trenutku i s bilo kojeg mjesta doći do informacija o knjigama i autorima u fondu Knjižnice. Građa u knjižnici spremna je za posudbu nakon što je barkodirana. To je uvjet za posudbu putem računala i računalnu obradu podataka.</w:t>
      </w:r>
    </w:p>
    <w:p w:rsidR="00A30AE8" w:rsidRDefault="00A30AE8" w:rsidP="00A30AE8">
      <w:pPr>
        <w:spacing w:line="360" w:lineRule="auto"/>
        <w:jc w:val="both"/>
        <w:rPr>
          <w:rFonts w:ascii="Times New Roman" w:hAnsi="Times New Roman" w:cs="Times New Roman"/>
          <w:sz w:val="24"/>
          <w:szCs w:val="24"/>
        </w:rPr>
      </w:pPr>
      <w:r w:rsidRPr="00E012E6">
        <w:rPr>
          <w:rFonts w:ascii="Times New Roman" w:hAnsi="Times New Roman" w:cs="Times New Roman"/>
          <w:sz w:val="24"/>
          <w:szCs w:val="24"/>
        </w:rPr>
        <w:t xml:space="preserve"> Tehnička obrada knjižnične građe: podrazumjeva ručnu obradu, svake jedinice građe (označavanje građe pečatom, print s naljepnica sa signaturom) </w:t>
      </w:r>
    </w:p>
    <w:p w:rsidR="00A30AE8" w:rsidRPr="00FE5054" w:rsidRDefault="00A30AE8" w:rsidP="00A30AE8">
      <w:pPr>
        <w:spacing w:line="360" w:lineRule="auto"/>
        <w:jc w:val="both"/>
        <w:rPr>
          <w:rFonts w:ascii="Times New Roman" w:hAnsi="Times New Roman" w:cs="Times New Roman"/>
          <w:sz w:val="24"/>
          <w:szCs w:val="24"/>
        </w:rPr>
      </w:pPr>
      <w:r w:rsidRPr="00E012E6">
        <w:rPr>
          <w:rFonts w:ascii="Times New Roman" w:hAnsi="Times New Roman" w:cs="Times New Roman"/>
          <w:sz w:val="24"/>
          <w:szCs w:val="24"/>
        </w:rPr>
        <w:t xml:space="preserve">Posudba knjižnične građe: Posudba knjiga i dalje će biti osnovna djelatnost Knjižnice. </w:t>
      </w:r>
      <w:r>
        <w:rPr>
          <w:rFonts w:ascii="Times New Roman" w:hAnsi="Times New Roman" w:cs="Times New Roman"/>
          <w:sz w:val="24"/>
          <w:szCs w:val="24"/>
        </w:rPr>
        <w:t>Stoga</w:t>
      </w:r>
      <w:r w:rsidRPr="00E012E6">
        <w:rPr>
          <w:rFonts w:ascii="Times New Roman" w:hAnsi="Times New Roman" w:cs="Times New Roman"/>
          <w:sz w:val="24"/>
          <w:szCs w:val="24"/>
        </w:rPr>
        <w:t>, sva građa koja se nalazi u otvorenom pristupu moći će se posuđivati izvan Knjižnice za razliku od Referentne i Zavičajne zbirke.</w:t>
      </w:r>
    </w:p>
    <w:p w:rsidR="00A30AE8" w:rsidRDefault="00A30AE8" w:rsidP="00A30AE8">
      <w:pPr>
        <w:spacing w:after="0" w:line="360" w:lineRule="auto"/>
        <w:jc w:val="both"/>
        <w:rPr>
          <w:rFonts w:ascii="Times New Roman" w:hAnsi="Times New Roman" w:cs="Times New Roman"/>
          <w:sz w:val="24"/>
          <w:szCs w:val="24"/>
        </w:rPr>
      </w:pPr>
    </w:p>
    <w:p w:rsidR="00A30AE8" w:rsidRDefault="00A30AE8" w:rsidP="00A30AE8">
      <w:pPr>
        <w:pStyle w:val="Bezproreda"/>
        <w:spacing w:line="360" w:lineRule="auto"/>
        <w:ind w:firstLine="709"/>
        <w:jc w:val="center"/>
        <w:rPr>
          <w:rFonts w:ascii="Times New Roman" w:hAnsi="Times New Roman"/>
          <w:sz w:val="24"/>
          <w:szCs w:val="24"/>
        </w:rPr>
      </w:pPr>
      <w:r>
        <w:rPr>
          <w:noProof/>
          <w:lang w:eastAsia="hr-HR"/>
        </w:rPr>
        <w:drawing>
          <wp:inline distT="0" distB="0" distL="0" distR="0" wp14:anchorId="51235894" wp14:editId="540A1269">
            <wp:extent cx="3600450" cy="2462861"/>
            <wp:effectExtent l="0" t="0" r="0" b="0"/>
            <wp:docPr id="2" name="Slika 2" descr="Knj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ji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8061" cy="2474908"/>
                    </a:xfrm>
                    <a:prstGeom prst="rect">
                      <a:avLst/>
                    </a:prstGeom>
                    <a:noFill/>
                    <a:ln>
                      <a:noFill/>
                    </a:ln>
                  </pic:spPr>
                </pic:pic>
              </a:graphicData>
            </a:graphic>
          </wp:inline>
        </w:drawing>
      </w:r>
    </w:p>
    <w:p w:rsidR="00A30AE8" w:rsidRPr="004A23F4" w:rsidRDefault="00A30AE8" w:rsidP="00A30AE8">
      <w:pPr>
        <w:pStyle w:val="Naslov1"/>
        <w:rPr>
          <w:color w:val="FF0000"/>
        </w:rPr>
      </w:pPr>
      <w:r>
        <w:rPr>
          <w:color w:val="FF0000"/>
        </w:rPr>
        <w:lastRenderedPageBreak/>
        <w:t>3</w:t>
      </w:r>
      <w:r w:rsidRPr="004A23F4">
        <w:rPr>
          <w:color w:val="FF0000"/>
        </w:rPr>
        <w:t>. STATISTIKA NABAVE U 202</w:t>
      </w:r>
      <w:r w:rsidR="000D082C">
        <w:rPr>
          <w:color w:val="FF0000"/>
        </w:rPr>
        <w:t>2</w:t>
      </w:r>
      <w:r w:rsidRPr="004A23F4">
        <w:rPr>
          <w:color w:val="FF0000"/>
        </w:rPr>
        <w:t>. GODINI</w:t>
      </w:r>
    </w:p>
    <w:p w:rsidR="00A30AE8" w:rsidRDefault="00A30AE8" w:rsidP="00A30AE8"/>
    <w:p w:rsidR="00A30AE8" w:rsidRDefault="00A30AE8" w:rsidP="00A30AE8">
      <w:pPr>
        <w:autoSpaceDE w:val="0"/>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Samostalna narodna knjižnica Gospić tijekom 2021. godine je </w:t>
      </w:r>
      <w:r>
        <w:rPr>
          <w:rFonts w:ascii="Times New Roman" w:hAnsi="Times New Roman" w:cs="Times New Roman"/>
          <w:sz w:val="24"/>
          <w:szCs w:val="24"/>
          <w:shd w:val="clear" w:color="auto" w:fill="FFFFFF"/>
        </w:rPr>
        <w:t>nastojala nabavljati građu prema Standardima za narodne knjižnice, no odstupanja su ipak vidljiva s obzirom na potrebe korisnika. Tijekom 2022.godine Knjižnica je prinovila ukupno 3029 jedinica knjižnične građe, od kojih 122 jedinica neknjižne građe i 2907 jedinica knjižne građe.</w:t>
      </w:r>
    </w:p>
    <w:p w:rsidR="00A30AE8" w:rsidRDefault="00A30AE8" w:rsidP="00A30AE8">
      <w:pPr>
        <w:autoSpaceDE w:val="0"/>
        <w:spacing w:after="0" w:line="360" w:lineRule="auto"/>
        <w:ind w:firstLine="709"/>
        <w:jc w:val="both"/>
        <w:rPr>
          <w:rFonts w:ascii="Times New Roman" w:hAnsi="Times New Roman" w:cs="Times New Roman"/>
          <w:sz w:val="24"/>
          <w:szCs w:val="24"/>
        </w:rPr>
      </w:pPr>
      <w:r w:rsidRPr="0082571A">
        <w:rPr>
          <w:rFonts w:ascii="Times New Roman" w:hAnsi="Times New Roman" w:cs="Times New Roman"/>
          <w:sz w:val="24"/>
          <w:szCs w:val="24"/>
        </w:rPr>
        <w:t>Knjižni fond županijske matične knjižnice u pravilu treba sadržavati 55 % beletristike, 45 % stručne, znanstvene i popularno znanstvene literature, od koje najmanje 1 % čini referentna građa.</w:t>
      </w:r>
      <w:r>
        <w:rPr>
          <w:rStyle w:val="Referencafusnote"/>
          <w:rFonts w:ascii="Times New Roman" w:hAnsi="Times New Roman" w:cs="Times New Roman"/>
          <w:sz w:val="24"/>
          <w:szCs w:val="24"/>
        </w:rPr>
        <w:footnoteReference w:id="2"/>
      </w:r>
      <w:r>
        <w:rPr>
          <w:rFonts w:ascii="Times New Roman" w:hAnsi="Times New Roman" w:cs="Times New Roman"/>
          <w:sz w:val="24"/>
          <w:szCs w:val="24"/>
        </w:rPr>
        <w:t>. Nabavom građe u 2022. godini stanje knjižničnog fonda je sljedeće:</w:t>
      </w:r>
    </w:p>
    <w:p w:rsidR="00A30AE8" w:rsidRDefault="00A30AE8" w:rsidP="00A30AE8">
      <w:pPr>
        <w:autoSpaceDE w:val="0"/>
        <w:spacing w:after="0" w:line="360" w:lineRule="auto"/>
        <w:ind w:firstLine="709"/>
        <w:jc w:val="both"/>
        <w:rPr>
          <w:rFonts w:ascii="Times New Roman" w:hAnsi="Times New Roman" w:cs="Times New Roman"/>
          <w:sz w:val="24"/>
          <w:szCs w:val="24"/>
        </w:rPr>
      </w:pPr>
    </w:p>
    <w:tbl>
      <w:tblPr>
        <w:tblStyle w:val="Tablicareetke4-isticanje4"/>
        <w:tblW w:w="9467" w:type="dxa"/>
        <w:tblLook w:val="04A0" w:firstRow="1" w:lastRow="0" w:firstColumn="1" w:lastColumn="0" w:noHBand="0" w:noVBand="1"/>
      </w:tblPr>
      <w:tblGrid>
        <w:gridCol w:w="3342"/>
        <w:gridCol w:w="3061"/>
        <w:gridCol w:w="3064"/>
      </w:tblGrid>
      <w:tr w:rsidR="00A30AE8" w:rsidTr="00073386">
        <w:trPr>
          <w:cnfStyle w:val="100000000000" w:firstRow="1" w:lastRow="0" w:firstColumn="0" w:lastColumn="0" w:oddVBand="0" w:evenVBand="0" w:oddHBand="0"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342" w:type="dxa"/>
            <w:hideMark/>
          </w:tcPr>
          <w:p w:rsidR="00A30AE8" w:rsidRDefault="00A30AE8" w:rsidP="00073386">
            <w:pPr>
              <w:autoSpaceDE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PREMA STANDARDIMA</w:t>
            </w:r>
          </w:p>
        </w:tc>
        <w:tc>
          <w:tcPr>
            <w:tcW w:w="3061" w:type="dxa"/>
            <w:hideMark/>
          </w:tcPr>
          <w:p w:rsidR="00A30AE8" w:rsidRDefault="00A30AE8" w:rsidP="00073386">
            <w:pPr>
              <w:autoSpaceDE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w:t>
            </w:r>
            <w:r w:rsidR="002310E3">
              <w:rPr>
                <w:rFonts w:ascii="Times New Roman" w:hAnsi="Times New Roman" w:cs="Times New Roman"/>
                <w:sz w:val="24"/>
                <w:szCs w:val="24"/>
              </w:rPr>
              <w:t>2</w:t>
            </w:r>
            <w:r>
              <w:rPr>
                <w:rFonts w:ascii="Times New Roman" w:hAnsi="Times New Roman" w:cs="Times New Roman"/>
                <w:sz w:val="24"/>
                <w:szCs w:val="24"/>
              </w:rPr>
              <w:t>. GODINA</w:t>
            </w:r>
          </w:p>
        </w:tc>
        <w:tc>
          <w:tcPr>
            <w:tcW w:w="3064" w:type="dxa"/>
            <w:hideMark/>
          </w:tcPr>
          <w:p w:rsidR="00A30AE8" w:rsidRDefault="00A30AE8" w:rsidP="00073386">
            <w:pPr>
              <w:autoSpaceDE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UKUPNI FOND</w:t>
            </w:r>
          </w:p>
        </w:tc>
      </w:tr>
      <w:tr w:rsidR="00A30AE8" w:rsidTr="00073386">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3342" w:type="dxa"/>
            <w:hideMark/>
          </w:tcPr>
          <w:p w:rsidR="00A30AE8" w:rsidRDefault="00A30AE8" w:rsidP="00073386">
            <w:pPr>
              <w:autoSpaceDE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ZNANOST 44 %</w:t>
            </w:r>
          </w:p>
        </w:tc>
        <w:tc>
          <w:tcPr>
            <w:tcW w:w="3061" w:type="dxa"/>
            <w:hideMark/>
          </w:tcPr>
          <w:p w:rsidR="00A30AE8" w:rsidRDefault="00A30AE8" w:rsidP="00073386">
            <w:pPr>
              <w:autoSpaceDE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2310E3">
              <w:rPr>
                <w:rFonts w:ascii="Times New Roman" w:hAnsi="Times New Roman" w:cs="Times New Roman"/>
                <w:sz w:val="24"/>
                <w:szCs w:val="24"/>
              </w:rPr>
              <w:t>5</w:t>
            </w:r>
            <w:r>
              <w:rPr>
                <w:rFonts w:ascii="Times New Roman" w:hAnsi="Times New Roman" w:cs="Times New Roman"/>
                <w:sz w:val="24"/>
                <w:szCs w:val="24"/>
              </w:rPr>
              <w:t>%</w:t>
            </w:r>
          </w:p>
        </w:tc>
        <w:tc>
          <w:tcPr>
            <w:tcW w:w="3064" w:type="dxa"/>
            <w:hideMark/>
          </w:tcPr>
          <w:p w:rsidR="00A30AE8" w:rsidRDefault="00A30AE8" w:rsidP="00073386">
            <w:pPr>
              <w:autoSpaceDE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2310E3">
              <w:rPr>
                <w:rFonts w:ascii="Times New Roman" w:hAnsi="Times New Roman" w:cs="Times New Roman"/>
                <w:sz w:val="24"/>
                <w:szCs w:val="24"/>
              </w:rPr>
              <w:t>3</w:t>
            </w:r>
            <w:r>
              <w:rPr>
                <w:rFonts w:ascii="Times New Roman" w:hAnsi="Times New Roman" w:cs="Times New Roman"/>
                <w:sz w:val="24"/>
                <w:szCs w:val="24"/>
              </w:rPr>
              <w:t>%</w:t>
            </w:r>
          </w:p>
        </w:tc>
      </w:tr>
      <w:tr w:rsidR="00A30AE8" w:rsidTr="00073386">
        <w:trPr>
          <w:trHeight w:val="1043"/>
        </w:trPr>
        <w:tc>
          <w:tcPr>
            <w:cnfStyle w:val="001000000000" w:firstRow="0" w:lastRow="0" w:firstColumn="1" w:lastColumn="0" w:oddVBand="0" w:evenVBand="0" w:oddHBand="0" w:evenHBand="0" w:firstRowFirstColumn="0" w:firstRowLastColumn="0" w:lastRowFirstColumn="0" w:lastRowLastColumn="0"/>
            <w:tcW w:w="3342" w:type="dxa"/>
            <w:hideMark/>
          </w:tcPr>
          <w:p w:rsidR="00A30AE8" w:rsidRDefault="00A30AE8" w:rsidP="00073386">
            <w:pPr>
              <w:autoSpaceDE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BELETRISTIKA 55%</w:t>
            </w:r>
          </w:p>
        </w:tc>
        <w:tc>
          <w:tcPr>
            <w:tcW w:w="3061" w:type="dxa"/>
            <w:hideMark/>
          </w:tcPr>
          <w:p w:rsidR="00A30AE8" w:rsidRDefault="00A30AE8" w:rsidP="00073386">
            <w:pPr>
              <w:autoSpaceDE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w:t>
            </w:r>
          </w:p>
        </w:tc>
        <w:tc>
          <w:tcPr>
            <w:tcW w:w="3064" w:type="dxa"/>
            <w:hideMark/>
          </w:tcPr>
          <w:p w:rsidR="00A30AE8" w:rsidRDefault="00A30AE8" w:rsidP="00073386">
            <w:pPr>
              <w:autoSpaceDE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2310E3">
              <w:rPr>
                <w:rFonts w:ascii="Times New Roman" w:hAnsi="Times New Roman" w:cs="Times New Roman"/>
                <w:sz w:val="24"/>
                <w:szCs w:val="24"/>
              </w:rPr>
              <w:t>5</w:t>
            </w:r>
            <w:r>
              <w:rPr>
                <w:rFonts w:ascii="Times New Roman" w:hAnsi="Times New Roman" w:cs="Times New Roman"/>
                <w:sz w:val="24"/>
                <w:szCs w:val="24"/>
              </w:rPr>
              <w:t>%</w:t>
            </w:r>
          </w:p>
        </w:tc>
      </w:tr>
      <w:tr w:rsidR="00A30AE8" w:rsidTr="00073386">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342" w:type="dxa"/>
            <w:hideMark/>
          </w:tcPr>
          <w:p w:rsidR="00A30AE8" w:rsidRPr="0082571A" w:rsidRDefault="00A30AE8" w:rsidP="00073386">
            <w:pPr>
              <w:autoSpaceDE w:val="0"/>
              <w:spacing w:after="0" w:line="360" w:lineRule="auto"/>
              <w:jc w:val="center"/>
              <w:rPr>
                <w:rFonts w:ascii="Times New Roman" w:hAnsi="Times New Roman" w:cs="Times New Roman"/>
                <w:color w:val="FF0000"/>
                <w:sz w:val="24"/>
                <w:szCs w:val="24"/>
              </w:rPr>
            </w:pPr>
            <w:r w:rsidRPr="0082571A">
              <w:rPr>
                <w:rFonts w:ascii="Times New Roman" w:hAnsi="Times New Roman" w:cs="Times New Roman"/>
                <w:color w:val="FF0000"/>
                <w:sz w:val="24"/>
                <w:szCs w:val="24"/>
              </w:rPr>
              <w:t>REFERENRNA 1%</w:t>
            </w:r>
          </w:p>
        </w:tc>
        <w:tc>
          <w:tcPr>
            <w:tcW w:w="3061" w:type="dxa"/>
            <w:hideMark/>
          </w:tcPr>
          <w:p w:rsidR="00A30AE8" w:rsidRPr="0082571A" w:rsidRDefault="002310E3" w:rsidP="00073386">
            <w:pPr>
              <w:autoSpaceDE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FF0000"/>
                <w:sz w:val="24"/>
                <w:szCs w:val="24"/>
              </w:rPr>
              <w:t>1</w:t>
            </w:r>
            <w:r w:rsidR="00A30AE8" w:rsidRPr="0082571A">
              <w:rPr>
                <w:rFonts w:ascii="Times New Roman" w:hAnsi="Times New Roman" w:cs="Times New Roman"/>
                <w:color w:val="FF0000"/>
                <w:sz w:val="24"/>
                <w:szCs w:val="24"/>
              </w:rPr>
              <w:t>%</w:t>
            </w:r>
          </w:p>
        </w:tc>
        <w:tc>
          <w:tcPr>
            <w:tcW w:w="3064" w:type="dxa"/>
            <w:hideMark/>
          </w:tcPr>
          <w:p w:rsidR="00A30AE8" w:rsidRPr="0082571A" w:rsidRDefault="002310E3" w:rsidP="00073386">
            <w:pPr>
              <w:autoSpaceDE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FF0000"/>
                <w:sz w:val="24"/>
                <w:szCs w:val="24"/>
              </w:rPr>
              <w:t>2</w:t>
            </w:r>
            <w:r w:rsidR="00A30AE8" w:rsidRPr="0082571A">
              <w:rPr>
                <w:rFonts w:ascii="Times New Roman" w:hAnsi="Times New Roman" w:cs="Times New Roman"/>
                <w:color w:val="FF0000"/>
                <w:sz w:val="24"/>
                <w:szCs w:val="24"/>
              </w:rPr>
              <w:t>%</w:t>
            </w:r>
          </w:p>
        </w:tc>
      </w:tr>
    </w:tbl>
    <w:p w:rsidR="00A30AE8" w:rsidRDefault="00A30AE8" w:rsidP="00A30AE8">
      <w:pPr>
        <w:pStyle w:val="Bezproreda"/>
        <w:spacing w:line="360" w:lineRule="auto"/>
        <w:jc w:val="both"/>
        <w:rPr>
          <w:rFonts w:ascii="Times New Roman" w:eastAsiaTheme="minorHAnsi" w:hAnsi="Times New Roman"/>
          <w:sz w:val="24"/>
          <w:szCs w:val="24"/>
        </w:rPr>
      </w:pPr>
    </w:p>
    <w:p w:rsidR="00A30AE8" w:rsidRDefault="00A30AE8" w:rsidP="00A30AE8">
      <w:pPr>
        <w:spacing w:line="360" w:lineRule="auto"/>
        <w:jc w:val="both"/>
      </w:pPr>
    </w:p>
    <w:p w:rsidR="00A30AE8" w:rsidRDefault="00A30AE8" w:rsidP="00A30AE8">
      <w:pPr>
        <w:spacing w:after="160" w:line="259" w:lineRule="auto"/>
      </w:pPr>
      <w:r>
        <w:br w:type="page"/>
      </w:r>
    </w:p>
    <w:p w:rsidR="00A30AE8" w:rsidRDefault="00A30AE8" w:rsidP="00A30AE8"/>
    <w:p w:rsidR="00A30AE8" w:rsidRPr="004A23F4" w:rsidRDefault="00A30AE8" w:rsidP="00A30AE8">
      <w:pPr>
        <w:pStyle w:val="Naslov1"/>
        <w:rPr>
          <w:rFonts w:cs="Times New Roman"/>
          <w:color w:val="FF0000"/>
        </w:rPr>
      </w:pPr>
      <w:r w:rsidRPr="004A23F4">
        <w:rPr>
          <w:color w:val="FF0000"/>
        </w:rPr>
        <w:t>3. FINANCIRANJE</w:t>
      </w:r>
    </w:p>
    <w:p w:rsidR="00A30AE8" w:rsidRDefault="00A30AE8" w:rsidP="00A30AE8">
      <w:pPr>
        <w:spacing w:after="0" w:line="240" w:lineRule="auto"/>
        <w:rPr>
          <w:rFonts w:ascii="Times New Roman" w:hAnsi="Times New Roman" w:cs="Times New Roman"/>
          <w:sz w:val="24"/>
          <w:szCs w:val="24"/>
        </w:rPr>
      </w:pPr>
    </w:p>
    <w:p w:rsidR="00A30AE8" w:rsidRDefault="00A30AE8" w:rsidP="00A30AE8">
      <w:pPr>
        <w:tabs>
          <w:tab w:val="left" w:pos="3405"/>
        </w:tabs>
        <w:jc w:val="both"/>
        <w:rPr>
          <w:sz w:val="24"/>
          <w:szCs w:val="24"/>
        </w:rPr>
      </w:pPr>
      <w:r>
        <w:rPr>
          <w:sz w:val="24"/>
          <w:szCs w:val="24"/>
        </w:rPr>
        <w:t>Planirani rashodi u 2023. godini su sljedeći:</w:t>
      </w:r>
    </w:p>
    <w:p w:rsidR="00A30AE8" w:rsidRDefault="00A30AE8" w:rsidP="00A30AE8">
      <w:pPr>
        <w:tabs>
          <w:tab w:val="left" w:pos="3405"/>
        </w:tabs>
        <w:jc w:val="both"/>
        <w:rPr>
          <w:sz w:val="24"/>
          <w:szCs w:val="24"/>
        </w:rPr>
      </w:pPr>
      <w:r>
        <w:rPr>
          <w:sz w:val="24"/>
          <w:szCs w:val="24"/>
        </w:rPr>
        <w:t>Izvor financiranja:</w:t>
      </w:r>
    </w:p>
    <w:tbl>
      <w:tblPr>
        <w:tblStyle w:val="Tablicareetke4-isticanje3"/>
        <w:tblW w:w="9780" w:type="dxa"/>
        <w:tblLook w:val="04A0" w:firstRow="1" w:lastRow="0" w:firstColumn="1" w:lastColumn="0" w:noHBand="0" w:noVBand="1"/>
      </w:tblPr>
      <w:tblGrid>
        <w:gridCol w:w="6574"/>
        <w:gridCol w:w="3206"/>
      </w:tblGrid>
      <w:tr w:rsidR="00A30AE8" w:rsidTr="00073386">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6574" w:type="dxa"/>
            <w:hideMark/>
          </w:tcPr>
          <w:p w:rsidR="00A30AE8" w:rsidRDefault="00A30AE8" w:rsidP="00073386">
            <w:pPr>
              <w:tabs>
                <w:tab w:val="left" w:pos="3405"/>
              </w:tabs>
              <w:spacing w:after="0" w:line="240" w:lineRule="auto"/>
              <w:jc w:val="both"/>
              <w:rPr>
                <w:sz w:val="24"/>
                <w:szCs w:val="24"/>
              </w:rPr>
            </w:pPr>
            <w:r>
              <w:rPr>
                <w:sz w:val="24"/>
                <w:szCs w:val="24"/>
              </w:rPr>
              <w:t>Proračun Grada Gospića</w:t>
            </w:r>
          </w:p>
        </w:tc>
        <w:tc>
          <w:tcPr>
            <w:tcW w:w="3206" w:type="dxa"/>
            <w:hideMark/>
          </w:tcPr>
          <w:p w:rsidR="00A30AE8" w:rsidRDefault="00293D6F" w:rsidP="00073386">
            <w:pPr>
              <w:tabs>
                <w:tab w:val="left" w:pos="3405"/>
              </w:tabs>
              <w:spacing w:after="0" w:line="240" w:lineRule="auto"/>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5.880 EUR</w:t>
            </w:r>
          </w:p>
        </w:tc>
      </w:tr>
      <w:tr w:rsidR="00A30AE8" w:rsidTr="00073386">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6574" w:type="dxa"/>
            <w:hideMark/>
          </w:tcPr>
          <w:p w:rsidR="00A30AE8" w:rsidRDefault="00A30AE8" w:rsidP="00073386">
            <w:pPr>
              <w:tabs>
                <w:tab w:val="left" w:pos="3405"/>
              </w:tabs>
              <w:spacing w:after="0" w:line="240" w:lineRule="auto"/>
              <w:jc w:val="both"/>
              <w:rPr>
                <w:sz w:val="24"/>
                <w:szCs w:val="24"/>
              </w:rPr>
            </w:pPr>
            <w:r>
              <w:rPr>
                <w:sz w:val="24"/>
                <w:szCs w:val="24"/>
              </w:rPr>
              <w:t>Ministarstvo kulture RH</w:t>
            </w:r>
          </w:p>
        </w:tc>
        <w:tc>
          <w:tcPr>
            <w:tcW w:w="3206" w:type="dxa"/>
            <w:hideMark/>
          </w:tcPr>
          <w:p w:rsidR="00A30AE8" w:rsidRDefault="00293D6F" w:rsidP="00073386">
            <w:pPr>
              <w:tabs>
                <w:tab w:val="left" w:pos="3405"/>
              </w:tabs>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23.890,10 EUR</w:t>
            </w:r>
          </w:p>
        </w:tc>
      </w:tr>
      <w:tr w:rsidR="00A30AE8" w:rsidTr="00073386">
        <w:trPr>
          <w:trHeight w:val="810"/>
        </w:trPr>
        <w:tc>
          <w:tcPr>
            <w:cnfStyle w:val="001000000000" w:firstRow="0" w:lastRow="0" w:firstColumn="1" w:lastColumn="0" w:oddVBand="0" w:evenVBand="0" w:oddHBand="0" w:evenHBand="0" w:firstRowFirstColumn="0" w:firstRowLastColumn="0" w:lastRowFirstColumn="0" w:lastRowLastColumn="0"/>
            <w:tcW w:w="6574" w:type="dxa"/>
            <w:hideMark/>
          </w:tcPr>
          <w:p w:rsidR="00A30AE8" w:rsidRDefault="00A30AE8" w:rsidP="00073386">
            <w:pPr>
              <w:tabs>
                <w:tab w:val="left" w:pos="3405"/>
              </w:tabs>
              <w:spacing w:after="0" w:line="240" w:lineRule="auto"/>
              <w:jc w:val="both"/>
              <w:rPr>
                <w:sz w:val="24"/>
                <w:szCs w:val="24"/>
              </w:rPr>
            </w:pPr>
            <w:r>
              <w:rPr>
                <w:sz w:val="24"/>
                <w:szCs w:val="24"/>
              </w:rPr>
              <w:t>Vlastiti prihodi</w:t>
            </w:r>
          </w:p>
        </w:tc>
        <w:tc>
          <w:tcPr>
            <w:tcW w:w="3206" w:type="dxa"/>
            <w:hideMark/>
          </w:tcPr>
          <w:p w:rsidR="00A30AE8" w:rsidRDefault="00293D6F" w:rsidP="00073386">
            <w:pPr>
              <w:tabs>
                <w:tab w:val="left" w:pos="3405"/>
              </w:tabs>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929 EUR</w:t>
            </w:r>
          </w:p>
        </w:tc>
      </w:tr>
      <w:tr w:rsidR="00A30AE8" w:rsidTr="00073386">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6574" w:type="dxa"/>
            <w:hideMark/>
          </w:tcPr>
          <w:p w:rsidR="00A30AE8" w:rsidRDefault="00A30AE8" w:rsidP="00073386">
            <w:pPr>
              <w:tabs>
                <w:tab w:val="left" w:pos="3405"/>
              </w:tabs>
              <w:spacing w:after="0" w:line="240" w:lineRule="auto"/>
              <w:jc w:val="both"/>
              <w:rPr>
                <w:sz w:val="24"/>
                <w:szCs w:val="24"/>
              </w:rPr>
            </w:pPr>
            <w:r>
              <w:rPr>
                <w:sz w:val="24"/>
                <w:szCs w:val="24"/>
              </w:rPr>
              <w:t xml:space="preserve">Ukupno </w:t>
            </w:r>
          </w:p>
        </w:tc>
        <w:tc>
          <w:tcPr>
            <w:tcW w:w="3206" w:type="dxa"/>
            <w:hideMark/>
          </w:tcPr>
          <w:p w:rsidR="00A30AE8" w:rsidRDefault="00293D6F" w:rsidP="00073386">
            <w:pPr>
              <w:tabs>
                <w:tab w:val="left" w:pos="3405"/>
              </w:tabs>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30.619,10 EUR</w:t>
            </w:r>
          </w:p>
        </w:tc>
      </w:tr>
    </w:tbl>
    <w:p w:rsidR="00A30AE8" w:rsidRDefault="00A30AE8" w:rsidP="00A30AE8">
      <w:pPr>
        <w:tabs>
          <w:tab w:val="left" w:pos="3405"/>
        </w:tabs>
        <w:jc w:val="both"/>
        <w:rPr>
          <w:sz w:val="24"/>
          <w:szCs w:val="24"/>
        </w:rPr>
      </w:pPr>
    </w:p>
    <w:p w:rsidR="00A30AE8" w:rsidRDefault="00A30AE8" w:rsidP="00A30AE8">
      <w:pPr>
        <w:tabs>
          <w:tab w:val="left" w:pos="3405"/>
        </w:tabs>
        <w:jc w:val="both"/>
        <w:rPr>
          <w:sz w:val="24"/>
          <w:szCs w:val="24"/>
        </w:rPr>
      </w:pPr>
    </w:p>
    <w:p w:rsidR="00A30AE8" w:rsidRDefault="00A30AE8" w:rsidP="00A30AE8">
      <w:pPr>
        <w:jc w:val="both"/>
        <w:rPr>
          <w:sz w:val="24"/>
          <w:szCs w:val="24"/>
        </w:rPr>
      </w:pPr>
      <w:r>
        <w:rPr>
          <w:sz w:val="24"/>
          <w:szCs w:val="24"/>
        </w:rPr>
        <w:t>Plan kupnje građe:</w:t>
      </w:r>
    </w:p>
    <w:tbl>
      <w:tblPr>
        <w:tblStyle w:val="Tablicareetke4-isticanje3"/>
        <w:tblW w:w="9798" w:type="dxa"/>
        <w:tblLook w:val="04A0" w:firstRow="1" w:lastRow="0" w:firstColumn="1" w:lastColumn="0" w:noHBand="0" w:noVBand="1"/>
      </w:tblPr>
      <w:tblGrid>
        <w:gridCol w:w="4898"/>
        <w:gridCol w:w="4900"/>
      </w:tblGrid>
      <w:tr w:rsidR="00A30AE8" w:rsidTr="00073386">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4898" w:type="dxa"/>
            <w:hideMark/>
          </w:tcPr>
          <w:p w:rsidR="00A30AE8" w:rsidRDefault="00A30AE8" w:rsidP="00073386">
            <w:pPr>
              <w:spacing w:after="0" w:line="240" w:lineRule="auto"/>
              <w:jc w:val="both"/>
              <w:rPr>
                <w:sz w:val="24"/>
                <w:szCs w:val="24"/>
              </w:rPr>
            </w:pPr>
            <w:r>
              <w:rPr>
                <w:sz w:val="24"/>
                <w:szCs w:val="24"/>
              </w:rPr>
              <w:t>Knjižna građa</w:t>
            </w:r>
          </w:p>
        </w:tc>
        <w:tc>
          <w:tcPr>
            <w:tcW w:w="4900" w:type="dxa"/>
            <w:hideMark/>
          </w:tcPr>
          <w:p w:rsidR="00A30AE8" w:rsidRDefault="00293D6F" w:rsidP="00073386">
            <w:pPr>
              <w:spacing w:after="0" w:line="240" w:lineRule="auto"/>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27.393,65 EUR</w:t>
            </w:r>
          </w:p>
        </w:tc>
      </w:tr>
      <w:tr w:rsidR="00A30AE8" w:rsidTr="00073386">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4898" w:type="dxa"/>
            <w:hideMark/>
          </w:tcPr>
          <w:p w:rsidR="00A30AE8" w:rsidRDefault="00A30AE8" w:rsidP="00073386">
            <w:pPr>
              <w:spacing w:after="0" w:line="240" w:lineRule="auto"/>
              <w:jc w:val="both"/>
              <w:rPr>
                <w:sz w:val="24"/>
                <w:szCs w:val="24"/>
              </w:rPr>
            </w:pPr>
            <w:r>
              <w:rPr>
                <w:sz w:val="24"/>
                <w:szCs w:val="24"/>
              </w:rPr>
              <w:t>AV- građa</w:t>
            </w:r>
          </w:p>
        </w:tc>
        <w:tc>
          <w:tcPr>
            <w:tcW w:w="4900" w:type="dxa"/>
            <w:hideMark/>
          </w:tcPr>
          <w:p w:rsidR="00A30AE8" w:rsidRDefault="00293D6F" w:rsidP="00073386">
            <w:p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2.654,45 EUR</w:t>
            </w:r>
          </w:p>
        </w:tc>
      </w:tr>
      <w:tr w:rsidR="00A30AE8" w:rsidTr="00073386">
        <w:trPr>
          <w:trHeight w:val="816"/>
        </w:trPr>
        <w:tc>
          <w:tcPr>
            <w:cnfStyle w:val="001000000000" w:firstRow="0" w:lastRow="0" w:firstColumn="1" w:lastColumn="0" w:oddVBand="0" w:evenVBand="0" w:oddHBand="0" w:evenHBand="0" w:firstRowFirstColumn="0" w:firstRowLastColumn="0" w:lastRowFirstColumn="0" w:lastRowLastColumn="0"/>
            <w:tcW w:w="4898" w:type="dxa"/>
            <w:hideMark/>
          </w:tcPr>
          <w:p w:rsidR="00A30AE8" w:rsidRDefault="00A30AE8" w:rsidP="00073386">
            <w:pPr>
              <w:spacing w:after="0" w:line="240" w:lineRule="auto"/>
              <w:jc w:val="both"/>
              <w:rPr>
                <w:sz w:val="24"/>
                <w:szCs w:val="24"/>
              </w:rPr>
            </w:pPr>
            <w:r>
              <w:rPr>
                <w:sz w:val="24"/>
                <w:szCs w:val="24"/>
              </w:rPr>
              <w:t>Igračke</w:t>
            </w:r>
          </w:p>
        </w:tc>
        <w:tc>
          <w:tcPr>
            <w:tcW w:w="4900" w:type="dxa"/>
            <w:hideMark/>
          </w:tcPr>
          <w:p w:rsidR="00A30AE8" w:rsidRDefault="00293D6F" w:rsidP="00073386">
            <w:p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571 EUR</w:t>
            </w:r>
          </w:p>
        </w:tc>
      </w:tr>
      <w:tr w:rsidR="00A30AE8" w:rsidTr="00073386">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4898" w:type="dxa"/>
            <w:hideMark/>
          </w:tcPr>
          <w:p w:rsidR="00A30AE8" w:rsidRDefault="00A30AE8" w:rsidP="00073386">
            <w:pPr>
              <w:spacing w:after="0" w:line="240" w:lineRule="auto"/>
              <w:jc w:val="both"/>
              <w:rPr>
                <w:sz w:val="24"/>
                <w:szCs w:val="24"/>
              </w:rPr>
            </w:pPr>
            <w:r>
              <w:rPr>
                <w:sz w:val="24"/>
                <w:szCs w:val="24"/>
              </w:rPr>
              <w:t>Ukupno:</w:t>
            </w:r>
          </w:p>
        </w:tc>
        <w:tc>
          <w:tcPr>
            <w:tcW w:w="4900" w:type="dxa"/>
            <w:hideMark/>
          </w:tcPr>
          <w:p w:rsidR="00A30AE8" w:rsidRDefault="00293D6F" w:rsidP="00073386">
            <w:p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30.619,10 EUR</w:t>
            </w:r>
          </w:p>
        </w:tc>
      </w:tr>
    </w:tbl>
    <w:p w:rsidR="00A30AE8" w:rsidRDefault="00A30AE8" w:rsidP="00A30AE8">
      <w:pPr>
        <w:jc w:val="center"/>
        <w:rPr>
          <w:b/>
          <w:sz w:val="28"/>
          <w:szCs w:val="28"/>
        </w:rPr>
      </w:pPr>
    </w:p>
    <w:p w:rsidR="00A30AE8" w:rsidRDefault="00A30AE8" w:rsidP="00A30AE8">
      <w:pPr>
        <w:jc w:val="center"/>
        <w:rPr>
          <w:b/>
          <w:sz w:val="28"/>
          <w:szCs w:val="28"/>
        </w:rPr>
      </w:pPr>
    </w:p>
    <w:p w:rsidR="00A30AE8" w:rsidRDefault="00A30AE8" w:rsidP="00A30AE8">
      <w:pPr>
        <w:jc w:val="center"/>
        <w:rPr>
          <w:b/>
          <w:sz w:val="28"/>
          <w:szCs w:val="28"/>
        </w:rPr>
      </w:pPr>
    </w:p>
    <w:p w:rsidR="00A30AE8" w:rsidRDefault="00A30AE8" w:rsidP="00A30AE8">
      <w:pPr>
        <w:jc w:val="center"/>
        <w:rPr>
          <w:b/>
          <w:sz w:val="28"/>
          <w:szCs w:val="28"/>
        </w:rPr>
      </w:pPr>
    </w:p>
    <w:p w:rsidR="00A30AE8" w:rsidRDefault="00A30AE8" w:rsidP="00A30AE8">
      <w:pPr>
        <w:jc w:val="center"/>
        <w:rPr>
          <w:b/>
          <w:sz w:val="28"/>
          <w:szCs w:val="28"/>
        </w:rPr>
      </w:pPr>
    </w:p>
    <w:p w:rsidR="00A30AE8" w:rsidRDefault="00A30AE8" w:rsidP="00A30AE8">
      <w:pPr>
        <w:jc w:val="center"/>
        <w:rPr>
          <w:b/>
          <w:sz w:val="28"/>
          <w:szCs w:val="28"/>
        </w:rPr>
      </w:pPr>
    </w:p>
    <w:p w:rsidR="00A30AE8" w:rsidRPr="004A23F4" w:rsidRDefault="00A30AE8" w:rsidP="00A30AE8">
      <w:pPr>
        <w:pStyle w:val="Naslov1"/>
        <w:rPr>
          <w:color w:val="FF0000"/>
        </w:rPr>
      </w:pPr>
      <w:r w:rsidRPr="004A23F4">
        <w:rPr>
          <w:color w:val="FF0000"/>
        </w:rPr>
        <w:lastRenderedPageBreak/>
        <w:t>4. PLAN PROGRAMA NABAVE KNJIŽNIČNE GRAĐE</w:t>
      </w:r>
    </w:p>
    <w:p w:rsidR="00A30AE8" w:rsidRDefault="00A30AE8" w:rsidP="00A30AE8"/>
    <w:p w:rsidR="00A30AE8" w:rsidRPr="006E6B97" w:rsidRDefault="00A30AE8" w:rsidP="00A30AE8">
      <w:pPr>
        <w:spacing w:line="360" w:lineRule="auto"/>
        <w:jc w:val="both"/>
        <w:rPr>
          <w:rFonts w:ascii="Times New Roman" w:hAnsi="Times New Roman" w:cs="Times New Roman"/>
          <w:sz w:val="24"/>
          <w:szCs w:val="24"/>
        </w:rPr>
      </w:pPr>
      <w:r w:rsidRPr="006E6B97">
        <w:rPr>
          <w:rFonts w:ascii="Times New Roman" w:hAnsi="Times New Roman" w:cs="Times New Roman"/>
          <w:sz w:val="24"/>
          <w:szCs w:val="24"/>
        </w:rPr>
        <w:t>Nabava knjižnične građe zakonska je obveza narodne knjižnice. Odvijat će se u skladu s ponudom novih naslova, zahtjevima korisnika te preporukama Standarda za narodne knjižnice. Nabava i obrada knjižnične građe jedna od najvažnijih aktivnosti SNK Gospić.</w:t>
      </w:r>
    </w:p>
    <w:p w:rsidR="00A30AE8" w:rsidRPr="006E6B97" w:rsidRDefault="00A30AE8" w:rsidP="00A30AE8">
      <w:pPr>
        <w:pStyle w:val="Odlomakpopisa"/>
        <w:spacing w:after="120" w:line="360" w:lineRule="auto"/>
        <w:ind w:left="0"/>
        <w:jc w:val="both"/>
        <w:rPr>
          <w:rFonts w:ascii="Times New Roman" w:hAnsi="Times New Roman" w:cs="Times New Roman"/>
          <w:sz w:val="24"/>
          <w:szCs w:val="24"/>
        </w:rPr>
      </w:pPr>
      <w:r w:rsidRPr="006E6B97">
        <w:rPr>
          <w:rFonts w:ascii="Times New Roman" w:hAnsi="Times New Roman" w:cs="Times New Roman"/>
          <w:sz w:val="24"/>
          <w:szCs w:val="24"/>
        </w:rPr>
        <w:t xml:space="preserve"> Knjižnična građa obuhvaća knjige, novine, časopise , AV- građu te igračke.  Prateći Standarde za narodne knjižnice u RH, Knjižnica nabavlja građu za osobni razvoj, razonodu i cjeloživotno učenje. </w:t>
      </w:r>
    </w:p>
    <w:p w:rsidR="00A30AE8" w:rsidRPr="006E6B97" w:rsidRDefault="00A30AE8" w:rsidP="00A30AE8">
      <w:pPr>
        <w:spacing w:line="360" w:lineRule="auto"/>
        <w:jc w:val="both"/>
        <w:rPr>
          <w:rFonts w:ascii="Times New Roman" w:hAnsi="Times New Roman" w:cs="Times New Roman"/>
          <w:sz w:val="24"/>
          <w:szCs w:val="24"/>
        </w:rPr>
      </w:pPr>
      <w:r w:rsidRPr="006E6B97">
        <w:rPr>
          <w:rFonts w:ascii="Times New Roman" w:hAnsi="Times New Roman" w:cs="Times New Roman"/>
          <w:sz w:val="24"/>
          <w:szCs w:val="24"/>
        </w:rPr>
        <w:t xml:space="preserve">Sva građa, osim zavičajne i referentne građe može se posuđivati izvan prostora knjižnice. Građa je u slobodnom pristupu i pretraživanju putem on-line kataloga na adresi </w:t>
      </w:r>
      <w:hyperlink r:id="rId10" w:history="1">
        <w:r w:rsidRPr="006E6B97">
          <w:rPr>
            <w:rStyle w:val="Hiperveza"/>
            <w:rFonts w:ascii="Times New Roman" w:hAnsi="Times New Roman" w:cs="Times New Roman"/>
            <w:sz w:val="24"/>
            <w:szCs w:val="24"/>
          </w:rPr>
          <w:t>https://gospic.zaki.com.hr/</w:t>
        </w:r>
      </w:hyperlink>
      <w:r w:rsidRPr="006E6B97">
        <w:rPr>
          <w:rFonts w:ascii="Times New Roman" w:hAnsi="Times New Roman" w:cs="Times New Roman"/>
          <w:sz w:val="24"/>
          <w:szCs w:val="24"/>
        </w:rPr>
        <w:t xml:space="preserve"> Maksimalni broj jedinica koji se odjednom može posuditi jest 9 (npr. 6 jedinica knjižne građe , 2 jedinice AV-građe naslova i 1 igračku).</w:t>
      </w:r>
    </w:p>
    <w:p w:rsidR="00A30AE8" w:rsidRPr="006E6B97" w:rsidRDefault="00A30AE8" w:rsidP="00A30AE8">
      <w:pPr>
        <w:pStyle w:val="Odlomakpopisa"/>
        <w:spacing w:after="120" w:line="360" w:lineRule="auto"/>
        <w:ind w:left="0"/>
        <w:jc w:val="both"/>
        <w:rPr>
          <w:rFonts w:ascii="Times New Roman" w:hAnsi="Times New Roman" w:cs="Times New Roman"/>
          <w:sz w:val="24"/>
          <w:szCs w:val="24"/>
        </w:rPr>
      </w:pPr>
      <w:r w:rsidRPr="006E6B97">
        <w:rPr>
          <w:rFonts w:ascii="Times New Roman" w:hAnsi="Times New Roman" w:cs="Times New Roman"/>
          <w:sz w:val="24"/>
          <w:szCs w:val="24"/>
        </w:rPr>
        <w:t xml:space="preserve">Građa će se birati tako da odražavala interese i raznolikost  korisničke zajednice. Nabava će biti širokog raspona s obzirom da su korisnici i potencijalni korisnici sve dobne skupine (djeca, mladi i odrasli) tako da građa potiče, obrazuje i informira sve uzraste.  Nabava građe u raznim oblicima i žanrovima uključivat će tiskanu građu, DVD, elektroničke oblike i edukativne igračke. Prilikom nabave posebno treba obratiti pažnju na obogaćivanje i razvijanje Zavičajne zbirke koja prati povijest, razvoj i kulturni život Ličko-senjske županije. </w:t>
      </w:r>
    </w:p>
    <w:p w:rsidR="00A30AE8" w:rsidRPr="006E6B97" w:rsidRDefault="00A30AE8" w:rsidP="00A30AE8">
      <w:pPr>
        <w:autoSpaceDE w:val="0"/>
        <w:spacing w:after="0" w:line="360" w:lineRule="auto"/>
        <w:jc w:val="both"/>
        <w:rPr>
          <w:rFonts w:ascii="Times New Roman" w:hAnsi="Times New Roman" w:cs="Times New Roman"/>
          <w:b/>
          <w:bCs/>
          <w:sz w:val="24"/>
          <w:szCs w:val="24"/>
        </w:rPr>
      </w:pPr>
      <w:r w:rsidRPr="006E6B97">
        <w:rPr>
          <w:rFonts w:ascii="Times New Roman" w:hAnsi="Times New Roman" w:cs="Times New Roman"/>
          <w:sz w:val="24"/>
          <w:szCs w:val="24"/>
        </w:rPr>
        <w:t xml:space="preserve">Zbog redukcije nabave knjižnične građe, kojoj svjedočimo posljednjih godina radi uvođenja jedinstvene cijene knjiga i smanjenog rabata u nabavi, neophodna nam je financijska potpora iz svih izvora kako bismo je barem održali na postignutoj razini – Grada Gospića i Ministarstva kulture RH. </w:t>
      </w:r>
    </w:p>
    <w:p w:rsidR="00A30AE8" w:rsidRPr="006E6B97" w:rsidRDefault="00A30AE8" w:rsidP="00A30AE8">
      <w:pPr>
        <w:autoSpaceDE w:val="0"/>
        <w:spacing w:after="0" w:line="360" w:lineRule="auto"/>
        <w:jc w:val="both"/>
        <w:rPr>
          <w:rFonts w:ascii="Times New Roman" w:hAnsi="Times New Roman" w:cs="Times New Roman"/>
          <w:sz w:val="24"/>
          <w:szCs w:val="24"/>
        </w:rPr>
      </w:pPr>
    </w:p>
    <w:p w:rsidR="00A30AE8" w:rsidRPr="006E6B97" w:rsidRDefault="00A30AE8" w:rsidP="00A30AE8">
      <w:pPr>
        <w:spacing w:after="0" w:line="240" w:lineRule="auto"/>
        <w:rPr>
          <w:rFonts w:ascii="Times New Roman" w:hAnsi="Times New Roman" w:cs="Times New Roman"/>
          <w:sz w:val="24"/>
          <w:szCs w:val="24"/>
        </w:rPr>
      </w:pPr>
    </w:p>
    <w:p w:rsidR="00A30AE8" w:rsidRPr="006E6B97" w:rsidRDefault="00293D6F" w:rsidP="00293D6F">
      <w:pPr>
        <w:pStyle w:val="Bezproreda1"/>
        <w:jc w:val="both"/>
        <w:rPr>
          <w:rFonts w:ascii="Times New Roman" w:eastAsia="Times New Roman" w:hAnsi="Times New Roman"/>
          <w:sz w:val="24"/>
          <w:szCs w:val="24"/>
        </w:rPr>
      </w:pPr>
      <w:r>
        <w:rPr>
          <w:rFonts w:ascii="Times New Roman" w:eastAsia="Times New Roman" w:hAnsi="Times New Roman"/>
          <w:sz w:val="24"/>
          <w:szCs w:val="24"/>
        </w:rPr>
        <w:t>Izradila: Marijana Kovačević, mag.bibl.</w:t>
      </w:r>
    </w:p>
    <w:p w:rsidR="00A30AE8" w:rsidRPr="006E6B97" w:rsidRDefault="00A30AE8" w:rsidP="00A30AE8">
      <w:pPr>
        <w:pStyle w:val="Bezproreda1"/>
        <w:ind w:left="360"/>
        <w:jc w:val="both"/>
        <w:rPr>
          <w:rFonts w:ascii="Times New Roman" w:eastAsia="Times New Roman" w:hAnsi="Times New Roman"/>
          <w:sz w:val="24"/>
          <w:szCs w:val="24"/>
        </w:rPr>
      </w:pPr>
    </w:p>
    <w:p w:rsidR="00A30AE8" w:rsidRDefault="00A30AE8" w:rsidP="00A30AE8">
      <w:pPr>
        <w:pStyle w:val="Bezproreda1"/>
        <w:tabs>
          <w:tab w:val="left" w:pos="6630"/>
        </w:tabs>
        <w:ind w:left="360"/>
        <w:jc w:val="both"/>
        <w:rPr>
          <w:rFonts w:ascii="Times New Roman" w:eastAsia="Times New Roman" w:hAnsi="Times New Roman"/>
          <w:sz w:val="24"/>
          <w:szCs w:val="24"/>
        </w:rPr>
      </w:pPr>
      <w:r>
        <w:rPr>
          <w:rFonts w:ascii="Times New Roman" w:eastAsia="Times New Roman" w:hAnsi="Times New Roman"/>
          <w:sz w:val="24"/>
          <w:szCs w:val="24"/>
        </w:rPr>
        <w:tab/>
      </w:r>
    </w:p>
    <w:p w:rsidR="00A30AE8" w:rsidRDefault="00A30AE8" w:rsidP="00A30AE8">
      <w:pPr>
        <w:pStyle w:val="Bezproreda1"/>
        <w:ind w:left="360"/>
        <w:jc w:val="both"/>
        <w:rPr>
          <w:rFonts w:ascii="Times New Roman" w:eastAsia="Times New Roman" w:hAnsi="Times New Roman"/>
          <w:sz w:val="24"/>
          <w:szCs w:val="24"/>
        </w:rPr>
      </w:pPr>
    </w:p>
    <w:p w:rsidR="00A30AE8" w:rsidRDefault="00A30AE8" w:rsidP="00A30AE8">
      <w:pPr>
        <w:pStyle w:val="Bezproreda1"/>
        <w:ind w:left="360"/>
        <w:jc w:val="both"/>
        <w:rPr>
          <w:rFonts w:ascii="Times New Roman" w:eastAsia="Times New Roman" w:hAnsi="Times New Roman"/>
          <w:sz w:val="24"/>
          <w:szCs w:val="24"/>
        </w:rPr>
      </w:pPr>
    </w:p>
    <w:p w:rsidR="00A30AE8" w:rsidRDefault="00A30AE8" w:rsidP="00A30AE8">
      <w:pPr>
        <w:pStyle w:val="Bezproreda1"/>
        <w:tabs>
          <w:tab w:val="left" w:pos="7140"/>
        </w:tabs>
        <w:ind w:left="360"/>
        <w:jc w:val="both"/>
        <w:rPr>
          <w:rFonts w:ascii="Times New Roman" w:eastAsia="Times New Roman" w:hAnsi="Times New Roman"/>
          <w:sz w:val="24"/>
          <w:szCs w:val="24"/>
        </w:rPr>
      </w:pPr>
      <w:r>
        <w:rPr>
          <w:rFonts w:ascii="Times New Roman" w:eastAsia="Times New Roman" w:hAnsi="Times New Roman"/>
          <w:sz w:val="24"/>
          <w:szCs w:val="24"/>
        </w:rPr>
        <w:tab/>
        <w:t xml:space="preserve">Ravnatelj </w:t>
      </w:r>
    </w:p>
    <w:p w:rsidR="00A30AE8" w:rsidRDefault="00A30AE8" w:rsidP="00A30AE8">
      <w:pPr>
        <w:pStyle w:val="Bezproreda1"/>
        <w:ind w:left="360"/>
        <w:jc w:val="both"/>
        <w:rPr>
          <w:rFonts w:ascii="Times New Roman" w:eastAsia="Times New Roman" w:hAnsi="Times New Roman"/>
          <w:sz w:val="24"/>
          <w:szCs w:val="24"/>
        </w:rPr>
      </w:pPr>
    </w:p>
    <w:p w:rsidR="00A30AE8" w:rsidRDefault="00A30AE8" w:rsidP="00A30AE8">
      <w:pPr>
        <w:pStyle w:val="Bezproreda1"/>
        <w:tabs>
          <w:tab w:val="left" w:pos="7185"/>
        </w:tabs>
        <w:ind w:left="360"/>
        <w:jc w:val="both"/>
        <w:rPr>
          <w:rFonts w:ascii="Times New Roman" w:eastAsia="Times New Roman" w:hAnsi="Times New Roman"/>
          <w:sz w:val="24"/>
          <w:szCs w:val="24"/>
        </w:rPr>
      </w:pPr>
      <w:r>
        <w:rPr>
          <w:rFonts w:ascii="Times New Roman" w:eastAsia="Times New Roman" w:hAnsi="Times New Roman"/>
          <w:sz w:val="24"/>
          <w:szCs w:val="24"/>
        </w:rPr>
        <w:tab/>
        <w:t>Milan Šarić</w:t>
      </w:r>
    </w:p>
    <w:p w:rsidR="00A30AE8" w:rsidRDefault="00A30AE8" w:rsidP="00A30AE8">
      <w:pPr>
        <w:spacing w:line="360" w:lineRule="auto"/>
        <w:rPr>
          <w:rFonts w:ascii="Times New Roman" w:hAnsi="Times New Roman" w:cs="Times New Roman"/>
        </w:rPr>
      </w:pPr>
    </w:p>
    <w:p w:rsidR="00F404BD" w:rsidRDefault="00F404BD"/>
    <w:sectPr w:rsidR="00F404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3D22" w:rsidRDefault="007C3D22" w:rsidP="00A30AE8">
      <w:pPr>
        <w:spacing w:after="0" w:line="240" w:lineRule="auto"/>
      </w:pPr>
      <w:r>
        <w:separator/>
      </w:r>
    </w:p>
  </w:endnote>
  <w:endnote w:type="continuationSeparator" w:id="0">
    <w:p w:rsidR="007C3D22" w:rsidRDefault="007C3D22" w:rsidP="00A3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3D22" w:rsidRDefault="007C3D22" w:rsidP="00A30AE8">
      <w:pPr>
        <w:spacing w:after="0" w:line="240" w:lineRule="auto"/>
      </w:pPr>
      <w:r>
        <w:separator/>
      </w:r>
    </w:p>
  </w:footnote>
  <w:footnote w:type="continuationSeparator" w:id="0">
    <w:p w:rsidR="007C3D22" w:rsidRDefault="007C3D22" w:rsidP="00A30AE8">
      <w:pPr>
        <w:spacing w:after="0" w:line="240" w:lineRule="auto"/>
      </w:pPr>
      <w:r>
        <w:continuationSeparator/>
      </w:r>
    </w:p>
  </w:footnote>
  <w:footnote w:id="1">
    <w:p w:rsidR="00A30AE8" w:rsidRDefault="00A30AE8" w:rsidP="00A30AE8">
      <w:pPr>
        <w:pStyle w:val="Tekstfusnote"/>
      </w:pPr>
      <w:r>
        <w:rPr>
          <w:rStyle w:val="Referencafusnote"/>
        </w:rPr>
        <w:footnoteRef/>
      </w:r>
      <w:r>
        <w:t xml:space="preserve"> </w:t>
      </w:r>
      <w:hyperlink r:id="rId1" w:history="1">
        <w:r w:rsidRPr="004853B6">
          <w:rPr>
            <w:rStyle w:val="Hiperveza"/>
          </w:rPr>
          <w:t>https://narodne-novine.nn.hr/clanci/sluzbeni/2021_09_103_1834.html</w:t>
        </w:r>
      </w:hyperlink>
      <w:r>
        <w:t xml:space="preserve"> (26.01.2022.)</w:t>
      </w:r>
    </w:p>
  </w:footnote>
  <w:footnote w:id="2">
    <w:p w:rsidR="00A30AE8" w:rsidRPr="0082571A" w:rsidRDefault="00A30AE8" w:rsidP="00A30AE8">
      <w:pPr>
        <w:pStyle w:val="Tekstfusnote"/>
      </w:pPr>
      <w:r>
        <w:rPr>
          <w:rStyle w:val="Referencafusnote"/>
        </w:rPr>
        <w:footnoteRef/>
      </w:r>
      <w:r>
        <w:t xml:space="preserve"> </w:t>
      </w:r>
      <w:hyperlink r:id="rId2" w:history="1">
        <w:r w:rsidRPr="00E5129C">
          <w:rPr>
            <w:rStyle w:val="Hiperveza"/>
          </w:rPr>
          <w:t>https://narodne-novine.nn.hr/clanci/sluzbeni/2021_09_103_1834.html</w:t>
        </w:r>
      </w:hyperlink>
      <w:r>
        <w:t xml:space="preserve"> (27.1.2022.)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50B"/>
    <w:multiLevelType w:val="hybridMultilevel"/>
    <w:tmpl w:val="A8F07FE4"/>
    <w:lvl w:ilvl="0" w:tplc="BDD4EBAA">
      <w:start w:val="1"/>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54685F11"/>
    <w:multiLevelType w:val="hybridMultilevel"/>
    <w:tmpl w:val="040ED34C"/>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82270859">
    <w:abstractNumId w:val="0"/>
  </w:num>
  <w:num w:numId="2" w16cid:durableId="1221936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E8"/>
    <w:rsid w:val="000D082C"/>
    <w:rsid w:val="002310E3"/>
    <w:rsid w:val="00293D6F"/>
    <w:rsid w:val="006120CF"/>
    <w:rsid w:val="007C3D22"/>
    <w:rsid w:val="007D5868"/>
    <w:rsid w:val="00873522"/>
    <w:rsid w:val="008F3BAA"/>
    <w:rsid w:val="00A30AE8"/>
    <w:rsid w:val="00CC3F20"/>
    <w:rsid w:val="00F32E72"/>
    <w:rsid w:val="00F404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BF50"/>
  <w15:chartTrackingRefBased/>
  <w15:docId w15:val="{5531E0F4-9516-47C5-ADE5-81335E4D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AE8"/>
    <w:pPr>
      <w:spacing w:after="200" w:line="276" w:lineRule="auto"/>
    </w:pPr>
  </w:style>
  <w:style w:type="paragraph" w:styleId="Naslov1">
    <w:name w:val="heading 1"/>
    <w:basedOn w:val="Normal"/>
    <w:next w:val="Normal"/>
    <w:link w:val="Naslov1Char"/>
    <w:uiPriority w:val="9"/>
    <w:qFormat/>
    <w:rsid w:val="00A30A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30AE8"/>
    <w:rPr>
      <w:rFonts w:asciiTheme="majorHAnsi" w:eastAsiaTheme="majorEastAsia" w:hAnsiTheme="majorHAnsi" w:cstheme="majorBidi"/>
      <w:color w:val="2F5496" w:themeColor="accent1" w:themeShade="BF"/>
      <w:sz w:val="32"/>
      <w:szCs w:val="32"/>
    </w:rPr>
  </w:style>
  <w:style w:type="character" w:styleId="Hiperveza">
    <w:name w:val="Hyperlink"/>
    <w:basedOn w:val="Zadanifontodlomka"/>
    <w:uiPriority w:val="99"/>
    <w:unhideWhenUsed/>
    <w:rsid w:val="00A30AE8"/>
    <w:rPr>
      <w:color w:val="0563C1" w:themeColor="hyperlink"/>
      <w:u w:val="single"/>
    </w:rPr>
  </w:style>
  <w:style w:type="paragraph" w:styleId="Bezproreda">
    <w:name w:val="No Spacing"/>
    <w:qFormat/>
    <w:rsid w:val="00A30AE8"/>
    <w:pPr>
      <w:suppressAutoHyphens/>
      <w:autoSpaceDN w:val="0"/>
      <w:spacing w:after="0" w:line="240" w:lineRule="auto"/>
    </w:pPr>
    <w:rPr>
      <w:rFonts w:ascii="Calibri" w:eastAsia="Times New Roman" w:hAnsi="Calibri" w:cs="Times New Roman"/>
      <w:sz w:val="21"/>
      <w:szCs w:val="21"/>
    </w:rPr>
  </w:style>
  <w:style w:type="paragraph" w:styleId="Odlomakpopisa">
    <w:name w:val="List Paragraph"/>
    <w:basedOn w:val="Normal"/>
    <w:qFormat/>
    <w:rsid w:val="00A30AE8"/>
    <w:pPr>
      <w:ind w:left="720"/>
      <w:contextualSpacing/>
    </w:pPr>
  </w:style>
  <w:style w:type="character" w:customStyle="1" w:styleId="NoSpacingChar">
    <w:name w:val="No Spacing Char"/>
    <w:basedOn w:val="Zadanifontodlomka"/>
    <w:link w:val="Bezproreda1"/>
    <w:locked/>
    <w:rsid w:val="00A30AE8"/>
    <w:rPr>
      <w:rFonts w:ascii="Calibri" w:eastAsia="Calibri" w:hAnsi="Calibri" w:cs="Times New Roman"/>
    </w:rPr>
  </w:style>
  <w:style w:type="paragraph" w:customStyle="1" w:styleId="Bezproreda1">
    <w:name w:val="Bez proreda1"/>
    <w:link w:val="NoSpacingChar"/>
    <w:rsid w:val="00A30AE8"/>
    <w:pPr>
      <w:spacing w:after="0" w:line="240" w:lineRule="auto"/>
    </w:pPr>
    <w:rPr>
      <w:rFonts w:ascii="Calibri" w:eastAsia="Calibri" w:hAnsi="Calibri" w:cs="Times New Roman"/>
    </w:rPr>
  </w:style>
  <w:style w:type="table" w:styleId="Tablicareetke4-isticanje3">
    <w:name w:val="Grid Table 4 Accent 3"/>
    <w:basedOn w:val="Obinatablica"/>
    <w:uiPriority w:val="49"/>
    <w:rsid w:val="00A30A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kstfusnote">
    <w:name w:val="footnote text"/>
    <w:basedOn w:val="Normal"/>
    <w:link w:val="TekstfusnoteChar"/>
    <w:uiPriority w:val="99"/>
    <w:semiHidden/>
    <w:unhideWhenUsed/>
    <w:rsid w:val="00A30AE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30AE8"/>
    <w:rPr>
      <w:sz w:val="20"/>
      <w:szCs w:val="20"/>
    </w:rPr>
  </w:style>
  <w:style w:type="character" w:styleId="Referencafusnote">
    <w:name w:val="footnote reference"/>
    <w:basedOn w:val="Zadanifontodlomka"/>
    <w:uiPriority w:val="99"/>
    <w:semiHidden/>
    <w:unhideWhenUsed/>
    <w:rsid w:val="00A30AE8"/>
    <w:rPr>
      <w:vertAlign w:val="superscript"/>
    </w:rPr>
  </w:style>
  <w:style w:type="table" w:styleId="Tablicareetke4-isticanje4">
    <w:name w:val="Grid Table 4 Accent 4"/>
    <w:basedOn w:val="Obinatablica"/>
    <w:uiPriority w:val="49"/>
    <w:rsid w:val="00A30A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ospic.zaki.com.hr/"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narodne-novine.nn.hr/clanci/sluzbeni/2021_09_103_1834.html" TargetMode="External"/><Relationship Id="rId1" Type="http://schemas.openxmlformats.org/officeDocument/2006/relationships/hyperlink" Target="https://narodne-novine.nn.hr/clanci/sluzbeni/2021_09_103_1834.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1151</Words>
  <Characters>6562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2023-01-09T14:11:00Z</dcterms:created>
  <dcterms:modified xsi:type="dcterms:W3CDTF">2023-03-21T14:12:00Z</dcterms:modified>
</cp:coreProperties>
</file>